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3. Descriptive Statistics: OECD Panel (25 Countries, 2010-2022)</w:t>
      </w:r>
    </w:p>
    <w:tbl>
      <w:tblPr>
        <w:tblStyle w:val="Table"/>
        <w:tblW w:type="pct" w:w="4836"/>
        <w:tblLayout w:type="fixed"/>
        <w:tblLook w:firstRow="1" w:lastRow="1" w:firstColumn="0" w:lastColumn="0" w:noHBand="0" w:noVBand="0" w:val="0020"/>
        <w:tblCaption w:val="Table 3. Descriptive Statistics: OECD Panel (25 Countries, 2010-2022)"/>
      </w:tblPr>
      <w:tblGrid>
        <w:gridCol w:w="3700"/>
        <w:gridCol w:w="779"/>
        <w:gridCol w:w="779"/>
        <w:gridCol w:w="843"/>
        <w:gridCol w:w="649"/>
        <w:gridCol w:w="9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tech. intensity (Y02 patents per billion USD VA)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4607.6360</w:t>
            </w:r>
          </w:p>
        </w:tc>
        <w:tc>
          <w:tcPr/>
          <w:p>
            <w:pPr>
              <w:pStyle w:val="Compact"/>
            </w:pPr>
            <w:r>
              <w:t xml:space="preserve">13388.4740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146665.7640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High-AI dummy (1 = AIIE above OECD-industry median)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0.5710</w:t>
            </w:r>
          </w:p>
        </w:tc>
        <w:tc>
          <w:tcPr/>
          <w:p>
            <w:pPr>
              <w:pStyle w:val="Compact"/>
            </w:pPr>
            <w:r>
              <w:t xml:space="preserve">0.4950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33.6670</w:t>
            </w:r>
          </w:p>
        </w:tc>
        <w:tc>
          <w:tcPr/>
          <w:p>
            <w:pPr>
              <w:pStyle w:val="Compact"/>
            </w:pPr>
            <w:r>
              <w:t xml:space="preserve">7.2980</w:t>
            </w:r>
          </w:p>
        </w:tc>
        <w:tc>
          <w:tcPr/>
          <w:p>
            <w:pPr>
              <w:pStyle w:val="Compact"/>
            </w:pPr>
            <w:r>
              <w:t xml:space="preserve">15.3790</w:t>
            </w:r>
          </w:p>
        </w:tc>
        <w:tc>
          <w:tcPr/>
          <w:p>
            <w:pPr>
              <w:pStyle w:val="Compact"/>
            </w:pPr>
            <w:r>
              <w:t xml:space="preserve">48.2500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2183.0000</w:t>
            </w:r>
          </w:p>
        </w:tc>
        <w:tc>
          <w:tcPr/>
          <w:p>
            <w:pPr>
              <w:pStyle w:val="Compact"/>
            </w:pPr>
            <w:r>
              <w:t xml:space="preserve">0.2660</w:t>
            </w:r>
          </w:p>
        </w:tc>
        <w:tc>
          <w:tcPr/>
          <w:p>
            <w:pPr>
              <w:pStyle w:val="Compact"/>
            </w:pPr>
            <w:r>
              <w:t xml:space="preserve">0.3080</w:t>
            </w:r>
          </w:p>
        </w:tc>
        <w:tc>
          <w:tcPr/>
          <w:p>
            <w:pPr>
              <w:pStyle w:val="Compact"/>
            </w:pPr>
            <w:r>
              <w:t xml:space="preserve">-0.0170</w:t>
            </w:r>
          </w:p>
        </w:tc>
        <w:tc>
          <w:tcPr/>
          <w:p>
            <w:pPr>
              <w:pStyle w:val="Compact"/>
            </w:pPr>
            <w:r>
              <w:t xml:space="preserve">4.4670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10.4910</w:t>
            </w:r>
          </w:p>
        </w:tc>
        <w:tc>
          <w:tcPr/>
          <w:p>
            <w:pPr>
              <w:pStyle w:val="Compact"/>
            </w:pPr>
            <w:r>
              <w:t xml:space="preserve">0.5180</w:t>
            </w:r>
          </w:p>
        </w:tc>
        <w:tc>
          <w:tcPr/>
          <w:p>
            <w:pPr>
              <w:pStyle w:val="Compact"/>
            </w:pPr>
            <w:r>
              <w:t xml:space="preserve">9.2880</w:t>
            </w:r>
          </w:p>
        </w:tc>
        <w:tc>
          <w:tcPr/>
          <w:p>
            <w:pPr>
              <w:pStyle w:val="Compact"/>
            </w:pPr>
            <w:r>
              <w:t xml:space="preserve">11.4910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productivity (ln, thousand USD VA per worker)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5.5750</w:t>
            </w:r>
          </w:p>
        </w:tc>
        <w:tc>
          <w:tcPr/>
          <w:p>
            <w:pPr>
              <w:pStyle w:val="Compact"/>
            </w:pPr>
            <w:r>
              <w:t xml:space="preserve">1.9540</w:t>
            </w:r>
          </w:p>
        </w:tc>
        <w:tc>
          <w:tcPr/>
          <w:p>
            <w:pPr>
              <w:pStyle w:val="Compact"/>
            </w:pPr>
            <w:r>
              <w:t xml:space="preserve">2.9150</w:t>
            </w:r>
          </w:p>
        </w:tc>
        <w:tc>
          <w:tcPr/>
          <w:p>
            <w:pPr>
              <w:pStyle w:val="Compact"/>
            </w:pPr>
            <w:r>
              <w:t xml:space="preserve">12.4180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2.1970</w:t>
            </w:r>
          </w:p>
        </w:tc>
        <w:tc>
          <w:tcPr/>
          <w:p>
            <w:pPr>
              <w:pStyle w:val="Compact"/>
            </w:pPr>
            <w:r>
              <w:t xml:space="preserve">0.8870</w:t>
            </w:r>
          </w:p>
        </w:tc>
        <w:tc>
          <w:tcPr/>
          <w:p>
            <w:pPr>
              <w:pStyle w:val="Compact"/>
            </w:pPr>
            <w:r>
              <w:t xml:space="preserve">0.6050</w:t>
            </w:r>
          </w:p>
        </w:tc>
        <w:tc>
          <w:tcPr/>
          <w:p>
            <w:pPr>
              <w:pStyle w:val="Compact"/>
            </w:pPr>
            <w:r>
              <w:t xml:space="preserve">4.8480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19.6810</w:t>
            </w:r>
          </w:p>
        </w:tc>
        <w:tc>
          <w:tcPr/>
          <w:p>
            <w:pPr>
              <w:pStyle w:val="Compact"/>
            </w:pPr>
            <w:r>
              <w:t xml:space="preserve">14.1940</w:t>
            </w:r>
          </w:p>
        </w:tc>
        <w:tc>
          <w:tcPr/>
          <w:p>
            <w:pPr>
              <w:pStyle w:val="Compact"/>
            </w:pPr>
            <w:r>
              <w:t xml:space="preserve">1.3000</w:t>
            </w:r>
          </w:p>
        </w:tc>
        <w:tc>
          <w:tcPr/>
          <w:p>
            <w:pPr>
              <w:pStyle w:val="Compact"/>
            </w:pPr>
            <w:r>
              <w:t xml:space="preserve">61.4000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2274.0000</w:t>
            </w:r>
          </w:p>
        </w:tc>
        <w:tc>
          <w:tcPr/>
          <w:p>
            <w:pPr>
              <w:pStyle w:val="Compact"/>
            </w:pPr>
            <w:r>
              <w:t xml:space="preserve">77.0860</w:t>
            </w:r>
          </w:p>
        </w:tc>
        <w:tc>
          <w:tcPr/>
          <w:p>
            <w:pPr>
              <w:pStyle w:val="Compact"/>
            </w:pPr>
            <w:r>
              <w:t xml:space="preserve">18.5430</w:t>
            </w:r>
          </w:p>
        </w:tc>
        <w:tc>
          <w:tcPr/>
          <w:p>
            <w:pPr>
              <w:pStyle w:val="Compact"/>
            </w:pPr>
            <w:r>
              <w:t xml:space="preserve">47.8140</w:t>
            </w:r>
          </w:p>
        </w:tc>
        <w:tc>
          <w:tcPr/>
          <w:p>
            <w:pPr>
              <w:pStyle w:val="Compact"/>
            </w:pPr>
            <w:r>
              <w:t xml:space="preserve">166.3900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OECD STAN, OECD ENV-TECH, WDI, Felten et al. (2021).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2026-07-14T10:01:22Z</dcterms:created>
  <dcterms:modified xsi:type="dcterms:W3CDTF">2026-07-14T10:01:22Z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