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4. Pairwise Correlation Matrix: OECD Panel</w:t>
      </w:r>
    </w:p>
    <w:tbl>
      <w:tblPr>
        <w:tblStyle w:val="Table"/>
        <w:tblW w:type="pct" w:w="4657"/>
        <w:tblLayout w:type="fixed"/>
        <w:tblLook w:firstRow="1" w:lastRow="1" w:firstColumn="0" w:lastColumn="0" w:noHBand="0" w:noVBand="0" w:val="0020"/>
        <w:tblCaption w:val="Table 4. Pairwise Correlation Matrix: OECD Panel"/>
      </w:tblPr>
      <w:tblGrid>
        <w:gridCol w:w="931"/>
        <w:gridCol w:w="776"/>
        <w:gridCol w:w="776"/>
        <w:gridCol w:w="776"/>
        <w:gridCol w:w="854"/>
        <w:gridCol w:w="776"/>
        <w:gridCol w:w="931"/>
        <w:gridCol w:w="854"/>
        <w:gridCol w:w="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ln_prod</w:t>
            </w:r>
          </w:p>
        </w:tc>
        <w:tc>
          <w:tcPr/>
          <w:p>
            <w:pPr>
              <w:pStyle w:val="Compact"/>
            </w:pPr>
            <w:r>
              <w:t xml:space="preserve">GTI</w:t>
            </w:r>
          </w:p>
        </w:tc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Broadband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R&amp;D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ln_prod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-0.0890</w:t>
            </w:r>
          </w:p>
        </w:tc>
        <w:tc>
          <w:tcPr/>
          <w:p>
            <w:pPr>
              <w:pStyle w:val="Compact"/>
            </w:pPr>
            <w:r>
              <w:t xml:space="preserve">0.1190</w:t>
            </w:r>
          </w:p>
        </w:tc>
        <w:tc>
          <w:tcPr/>
          <w:p>
            <w:pPr>
              <w:pStyle w:val="Compact"/>
            </w:pPr>
            <w:r>
              <w:t xml:space="preserve">-0.0410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0.1680</w:t>
            </w:r>
          </w:p>
        </w:tc>
        <w:tc>
          <w:tcPr/>
          <w:p>
            <w:pPr>
              <w:pStyle w:val="Compact"/>
            </w:pPr>
            <w:r>
              <w:t xml:space="preserve">-0.0330</w:t>
            </w:r>
          </w:p>
        </w:tc>
        <w:tc>
          <w:tcPr/>
          <w:p>
            <w:pPr>
              <w:pStyle w:val="Compact"/>
            </w:pPr>
            <w:r>
              <w:t xml:space="preserve">0.4320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GTI</w:t>
            </w:r>
          </w:p>
        </w:tc>
        <w:tc>
          <w:tcPr/>
          <w:p>
            <w:pPr>
              <w:pStyle w:val="Compact"/>
            </w:pPr>
            <w:r>
              <w:t xml:space="preserve">-0.0890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0.2770</w:t>
            </w:r>
          </w:p>
        </w:tc>
        <w:tc>
          <w:tcPr/>
          <w:p>
            <w:pPr>
              <w:pStyle w:val="Compact"/>
            </w:pPr>
            <w:r>
              <w:t xml:space="preserve">0.1120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-0.0420</w:t>
            </w:r>
          </w:p>
        </w:tc>
        <w:tc>
          <w:tcPr/>
          <w:p>
            <w:pPr>
              <w:pStyle w:val="Compact"/>
            </w:pPr>
            <w:r>
              <w:t xml:space="preserve">0.1040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0.1190</w:t>
            </w:r>
          </w:p>
        </w:tc>
        <w:tc>
          <w:tcPr/>
          <w:p>
            <w:pPr>
              <w:pStyle w:val="Compact"/>
            </w:pPr>
            <w:r>
              <w:t xml:space="preserve">0.2770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0.0480</w:t>
            </w:r>
          </w:p>
        </w:tc>
        <w:tc>
          <w:tcPr/>
          <w:p>
            <w:pPr>
              <w:pStyle w:val="Compact"/>
            </w:pPr>
            <w:r>
              <w:t xml:space="preserve">-0.0490</w:t>
            </w:r>
          </w:p>
        </w:tc>
        <w:tc>
          <w:tcPr/>
          <w:p>
            <w:pPr>
              <w:pStyle w:val="Compact"/>
            </w:pPr>
            <w:r>
              <w:t xml:space="preserve">0.0270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-0.0410</w:t>
            </w:r>
          </w:p>
        </w:tc>
        <w:tc>
          <w:tcPr/>
          <w:p>
            <w:pPr>
              <w:pStyle w:val="Compact"/>
            </w:pPr>
            <w:r>
              <w:t xml:space="preserve">0.1120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0.3070</w:t>
            </w:r>
          </w:p>
        </w:tc>
        <w:tc>
          <w:tcPr/>
          <w:p>
            <w:pPr>
              <w:pStyle w:val="Compact"/>
            </w:pPr>
            <w:r>
              <w:t xml:space="preserve">0.5420</w:t>
            </w:r>
          </w:p>
        </w:tc>
        <w:tc>
          <w:tcPr/>
          <w:p>
            <w:pPr>
              <w:pStyle w:val="Compact"/>
            </w:pPr>
            <w:r>
              <w:t xml:space="preserve">0.1330</w:t>
            </w:r>
          </w:p>
        </w:tc>
        <w:tc>
          <w:tcPr/>
          <w:p>
            <w:pPr>
              <w:pStyle w:val="Compact"/>
            </w:pPr>
            <w:r>
              <w:t xml:space="preserve">0.5280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0.3070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0.2100</w:t>
            </w:r>
          </w:p>
        </w:tc>
        <w:tc>
          <w:tcPr/>
          <w:p>
            <w:pPr>
              <w:pStyle w:val="Compact"/>
            </w:pPr>
            <w:r>
              <w:t xml:space="preserve">0.0690</w:t>
            </w:r>
          </w:p>
        </w:tc>
        <w:tc>
          <w:tcPr/>
          <w:p>
            <w:pPr>
              <w:pStyle w:val="Compact"/>
            </w:pPr>
            <w:r>
              <w:t xml:space="preserve">0.1470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</w:t>
            </w:r>
          </w:p>
        </w:tc>
        <w:tc>
          <w:tcPr/>
          <w:p>
            <w:pPr>
              <w:pStyle w:val="Compact"/>
            </w:pPr>
            <w:r>
              <w:t xml:space="preserve">0.1680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0.0480</w:t>
            </w:r>
          </w:p>
        </w:tc>
        <w:tc>
          <w:tcPr/>
          <w:p>
            <w:pPr>
              <w:pStyle w:val="Compact"/>
            </w:pPr>
            <w:r>
              <w:t xml:space="preserve">0.5420</w:t>
            </w:r>
          </w:p>
        </w:tc>
        <w:tc>
          <w:tcPr/>
          <w:p>
            <w:pPr>
              <w:pStyle w:val="Compact"/>
            </w:pPr>
            <w:r>
              <w:t xml:space="preserve">0.2100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0.1220</w:t>
            </w:r>
          </w:p>
        </w:tc>
        <w:tc>
          <w:tcPr/>
          <w:p>
            <w:pPr>
              <w:pStyle w:val="Compact"/>
            </w:pPr>
            <w:r>
              <w:t xml:space="preserve">0.5160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-0.0330</w:t>
            </w:r>
          </w:p>
        </w:tc>
        <w:tc>
          <w:tcPr/>
          <w:p>
            <w:pPr>
              <w:pStyle w:val="Compact"/>
            </w:pPr>
            <w:r>
              <w:t xml:space="preserve">-0.0420</w:t>
            </w:r>
          </w:p>
        </w:tc>
        <w:tc>
          <w:tcPr/>
          <w:p>
            <w:pPr>
              <w:pStyle w:val="Compact"/>
            </w:pPr>
            <w:r>
              <w:t xml:space="preserve">-0.0490</w:t>
            </w:r>
          </w:p>
        </w:tc>
        <w:tc>
          <w:tcPr/>
          <w:p>
            <w:pPr>
              <w:pStyle w:val="Compact"/>
            </w:pPr>
            <w:r>
              <w:t xml:space="preserve">0.1330</w:t>
            </w:r>
          </w:p>
        </w:tc>
        <w:tc>
          <w:tcPr/>
          <w:p>
            <w:pPr>
              <w:pStyle w:val="Compact"/>
            </w:pPr>
            <w:r>
              <w:t xml:space="preserve">0.0690</w:t>
            </w:r>
          </w:p>
        </w:tc>
        <w:tc>
          <w:tcPr/>
          <w:p>
            <w:pPr>
              <w:pStyle w:val="Compact"/>
            </w:pPr>
            <w:r>
              <w:t xml:space="preserve">0.1220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0.4320</w:t>
            </w:r>
          </w:p>
        </w:tc>
        <w:tc>
          <w:tcPr/>
          <w:p>
            <w:pPr>
              <w:pStyle w:val="Compact"/>
            </w:pPr>
            <w:r>
              <w:t xml:space="preserve">0.1040</w:t>
            </w:r>
          </w:p>
        </w:tc>
        <w:tc>
          <w:tcPr/>
          <w:p>
            <w:pPr>
              <w:pStyle w:val="Compact"/>
            </w:pPr>
            <w:r>
              <w:t xml:space="preserve">0.0270</w:t>
            </w:r>
          </w:p>
        </w:tc>
        <w:tc>
          <w:tcPr/>
          <w:p>
            <w:pPr>
              <w:pStyle w:val="Compact"/>
            </w:pPr>
            <w:r>
              <w:t xml:space="preserve">0.5280</w:t>
            </w:r>
          </w:p>
        </w:tc>
        <w:tc>
          <w:tcPr/>
          <w:p>
            <w:pPr>
              <w:pStyle w:val="Compact"/>
            </w:pPr>
            <w:r>
              <w:t xml:space="preserve">0.1470</w:t>
            </w:r>
          </w:p>
        </w:tc>
        <w:tc>
          <w:tcPr/>
          <w:p>
            <w:pPr>
              <w:pStyle w:val="Compact"/>
            </w:pPr>
            <w:r>
              <w:t xml:space="preserve">0.5160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Pairwise complete observations.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2026-07-14T10:01:22Z</dcterms:created>
  <dcterms:modified xsi:type="dcterms:W3CDTF">2026-07-14T10:01:22Z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