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8. Main Results: Green Technology Intensity and Labor Productivity (OECD Panel)</w:t>
      </w:r>
    </w:p>
    <w:tbl>
      <w:tblPr>
        <w:tblStyle w:val="Table"/>
        <w:tblW w:type="pct" w:w="4856"/>
        <w:tblLayout w:type="fixed"/>
        <w:tblLook w:firstRow="1" w:lastRow="1" w:firstColumn="0" w:lastColumn="0" w:noHBand="0" w:noVBand="0" w:val="0020"/>
        <w:tblCaption w:val="Table 8. Main Results: Green Technology Intensity and Labor Productivity (OECD Panel)"/>
      </w:tblPr>
      <w:tblGrid>
        <w:gridCol w:w="3095"/>
        <w:gridCol w:w="773"/>
        <w:gridCol w:w="591"/>
        <w:gridCol w:w="864"/>
        <w:gridCol w:w="1092"/>
        <w:gridCol w:w="546"/>
        <w:gridCol w:w="7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Pooled OLS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FE+Interact.</w:t>
            </w:r>
          </w:p>
        </w:tc>
        <w:tc>
          <w:tcPr/>
          <w:p>
            <w:pPr>
              <w:pStyle w:val="Compact"/>
            </w:pPr>
            <w:r>
              <w:t xml:space="preserve">(2b) FE+Interact.(HC)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FE-IV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Diff. GMM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(log patents per bn USD VA)</w:t>
            </w:r>
          </w:p>
        </w:tc>
        <w:tc>
          <w:tcPr/>
          <w:p>
            <w:pPr>
              <w:pStyle w:val="Compact"/>
            </w:pPr>
            <w:r>
              <w:t xml:space="preserve">-0.0814**</w:t>
            </w:r>
          </w:p>
        </w:tc>
        <w:tc>
          <w:tcPr/>
          <w:p>
            <w:pPr>
              <w:pStyle w:val="Compact"/>
            </w:pPr>
            <w:r>
              <w:t xml:space="preserve">-0.0134</w:t>
            </w:r>
          </w:p>
        </w:tc>
        <w:tc>
          <w:tcPr/>
          <w:p>
            <w:pPr>
              <w:pStyle w:val="Compact"/>
            </w:pPr>
            <w:r>
              <w:t xml:space="preserve">-0.0358*</w:t>
            </w:r>
          </w:p>
        </w:tc>
        <w:tc>
          <w:tcPr/>
          <w:p>
            <w:pPr>
              <w:pStyle w:val="Compact"/>
            </w:pPr>
            <w:r>
              <w:t xml:space="preserve">-0.0149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(0.0326)</w:t>
            </w:r>
          </w:p>
        </w:tc>
        <w:tc>
          <w:tcPr/>
          <w:p>
            <w:pPr>
              <w:pStyle w:val="Compact"/>
            </w:pPr>
            <w:r>
              <w:t xml:space="preserve">(0.0122)</w:t>
            </w:r>
          </w:p>
        </w:tc>
        <w:tc>
          <w:tcPr/>
          <w:p>
            <w:pPr>
              <w:pStyle w:val="Compact"/>
            </w:pPr>
            <w:r>
              <w:t xml:space="preserve">(0.0194)</w:t>
            </w:r>
          </w:p>
        </w:tc>
        <w:tc>
          <w:tcPr/>
          <w:p>
            <w:pPr>
              <w:pStyle w:val="Compact"/>
            </w:pPr>
            <w:r>
              <w:t xml:space="preserve">(0.0130)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ln(GTI+1): Green technology intensity (IV)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0.0187***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High-AI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0.0420**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ln(GTI+1) x High-Capital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Lagged labor productivity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0.8188**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(0.3457)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1.1473*</w:t>
            </w:r>
          </w:p>
        </w:tc>
        <w:tc>
          <w:tcPr/>
          <w:p>
            <w:pPr>
              <w:pStyle w:val="Compact"/>
            </w:pPr>
            <w:r>
              <w:t xml:space="preserve">-0.2788*</w:t>
            </w:r>
          </w:p>
        </w:tc>
        <w:tc>
          <w:tcPr/>
          <w:p>
            <w:pPr>
              <w:pStyle w:val="Compact"/>
            </w:pPr>
            <w:r>
              <w:t xml:space="preserve">-0.2767*</w:t>
            </w:r>
          </w:p>
        </w:tc>
        <w:tc>
          <w:tcPr/>
          <w:p>
            <w:pPr>
              <w:pStyle w:val="Compact"/>
            </w:pPr>
            <w:r>
              <w:t xml:space="preserve">-0.2882*</w:t>
            </w:r>
          </w:p>
        </w:tc>
        <w:tc>
          <w:tcPr/>
          <w:p>
            <w:pPr>
              <w:pStyle w:val="Compact"/>
            </w:pPr>
            <w:r>
              <w:t xml:space="preserve">-0.3906**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(0.6811)</w:t>
            </w:r>
          </w:p>
        </w:tc>
        <w:tc>
          <w:tcPr/>
          <w:p>
            <w:pPr>
              <w:pStyle w:val="Compact"/>
            </w:pPr>
            <w:r>
              <w:t xml:space="preserve">(0.1578)</w:t>
            </w:r>
          </w:p>
        </w:tc>
        <w:tc>
          <w:tcPr/>
          <w:p>
            <w:pPr>
              <w:pStyle w:val="Compact"/>
            </w:pPr>
            <w:r>
              <w:t xml:space="preserve">(0.1556)</w:t>
            </w:r>
          </w:p>
        </w:tc>
        <w:tc>
          <w:tcPr/>
          <w:p>
            <w:pPr>
              <w:pStyle w:val="Compact"/>
            </w:pPr>
            <w:r>
              <w:t xml:space="preserve">(0.1590)</w:t>
            </w:r>
          </w:p>
        </w:tc>
        <w:tc>
          <w:tcPr/>
          <w:p>
            <w:pPr>
              <w:pStyle w:val="Compact"/>
            </w:pPr>
            <w:r>
              <w:t xml:space="preserve">(0.1910)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-1.3354***</w:t>
            </w:r>
          </w:p>
        </w:tc>
        <w:tc>
          <w:tcPr/>
          <w:p>
            <w:pPr>
              <w:pStyle w:val="Compact"/>
            </w:pPr>
            <w:r>
              <w:t xml:space="preserve">0.5750**</w:t>
            </w:r>
          </w:p>
        </w:tc>
        <w:tc>
          <w:tcPr/>
          <w:p>
            <w:pPr>
              <w:pStyle w:val="Compact"/>
            </w:pPr>
            <w:r>
              <w:t xml:space="preserve">0.5778**</w:t>
            </w:r>
          </w:p>
        </w:tc>
        <w:tc>
          <w:tcPr/>
          <w:p>
            <w:pPr>
              <w:pStyle w:val="Compact"/>
            </w:pPr>
            <w:r>
              <w:t xml:space="preserve">0.5757**</w:t>
            </w:r>
          </w:p>
        </w:tc>
        <w:tc>
          <w:tcPr/>
          <w:p>
            <w:pPr>
              <w:pStyle w:val="Compact"/>
            </w:pPr>
            <w:r>
              <w:t xml:space="preserve">0.5151*</w:t>
            </w:r>
          </w:p>
        </w:tc>
        <w:tc>
          <w:tcPr/>
          <w:p>
            <w:pPr>
              <w:pStyle w:val="Compact"/>
            </w:pPr>
            <w:r>
              <w:t xml:space="preserve">0.5124**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(0.3493)</w:t>
            </w:r>
          </w:p>
        </w:tc>
        <w:tc>
          <w:tcPr/>
          <w:p>
            <w:pPr>
              <w:pStyle w:val="Compact"/>
            </w:pPr>
            <w:r>
              <w:t xml:space="preserve">(0.2415)</w:t>
            </w:r>
          </w:p>
        </w:tc>
        <w:tc>
          <w:tcPr/>
          <w:p>
            <w:pPr>
              <w:pStyle w:val="Compact"/>
            </w:pPr>
            <w:r>
              <w:t xml:space="preserve">(0.2378)</w:t>
            </w:r>
          </w:p>
        </w:tc>
        <w:tc>
          <w:tcPr/>
          <w:p>
            <w:pPr>
              <w:pStyle w:val="Compact"/>
            </w:pPr>
            <w:r>
              <w:t xml:space="preserve">(0.2412)</w:t>
            </w:r>
          </w:p>
        </w:tc>
        <w:tc>
          <w:tcPr/>
          <w:p>
            <w:pPr>
              <w:pStyle w:val="Compact"/>
            </w:pPr>
            <w:r>
              <w:t xml:space="preserve">(0.2664)</w:t>
            </w:r>
          </w:p>
        </w:tc>
        <w:tc>
          <w:tcPr/>
          <w:p>
            <w:pPr>
              <w:pStyle w:val="Compact"/>
            </w:pPr>
            <w:r>
              <w:t xml:space="preserve">(0.2378)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-0.0016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-0.0015</w:t>
            </w:r>
          </w:p>
        </w:tc>
        <w:tc>
          <w:tcPr/>
          <w:p>
            <w:pPr>
              <w:pStyle w:val="Compact"/>
            </w:pPr>
            <w:r>
              <w:t xml:space="preserve">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(0.0105)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  <w:tc>
          <w:tcPr/>
          <w:p>
            <w:pPr>
              <w:pStyle w:val="Compact"/>
            </w:pPr>
            <w:r>
              <w:t xml:space="preserve">(0.0025)</w:t>
            </w:r>
          </w:p>
        </w:tc>
        <w:tc>
          <w:tcPr/>
          <w:p>
            <w:pPr>
              <w:pStyle w:val="Compact"/>
            </w:pPr>
            <w:r>
              <w:t xml:space="preserve">(0.0026)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0.0199</w:t>
            </w:r>
          </w:p>
        </w:tc>
        <w:tc>
          <w:tcPr/>
          <w:p>
            <w:pPr>
              <w:pStyle w:val="Compact"/>
            </w:pPr>
            <w:r>
              <w:t xml:space="preserve">-0.0111***</w:t>
            </w:r>
          </w:p>
        </w:tc>
        <w:tc>
          <w:tcPr/>
          <w:p>
            <w:pPr>
              <w:pStyle w:val="Compact"/>
            </w:pPr>
            <w:r>
              <w:t xml:space="preserve">-0.0111***</w:t>
            </w:r>
          </w:p>
        </w:tc>
        <w:tc>
          <w:tcPr/>
          <w:p>
            <w:pPr>
              <w:pStyle w:val="Compact"/>
            </w:pPr>
            <w:r>
              <w:t xml:space="preserve">-0.0111***</w:t>
            </w:r>
          </w:p>
        </w:tc>
        <w:tc>
          <w:tcPr/>
          <w:p>
            <w:pPr>
              <w:pStyle w:val="Compact"/>
            </w:pPr>
            <w:r>
              <w:t xml:space="preserve">-0.0077**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(0.0158)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(0.0029)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-0.0065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(0.0056)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(0.0013)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1.3248***</w:t>
            </w:r>
          </w:p>
        </w:tc>
        <w:tc>
          <w:tcPr/>
          <w:p>
            <w:pPr>
              <w:pStyle w:val="Compact"/>
            </w:pPr>
            <w:r>
              <w:t xml:space="preserve">-0.0080</w:t>
            </w:r>
          </w:p>
        </w:tc>
        <w:tc>
          <w:tcPr/>
          <w:p>
            <w:pPr>
              <w:pStyle w:val="Compact"/>
            </w:pPr>
            <w:r>
              <w:t xml:space="preserve">-0.0081</w:t>
            </w:r>
          </w:p>
        </w:tc>
        <w:tc>
          <w:tcPr/>
          <w:p>
            <w:pPr>
              <w:pStyle w:val="Compact"/>
            </w:pPr>
            <w:r>
              <w:t xml:space="preserve">-0.0077</w:t>
            </w:r>
          </w:p>
        </w:tc>
        <w:tc>
          <w:tcPr/>
          <w:p>
            <w:pPr>
              <w:pStyle w:val="Compact"/>
            </w:pPr>
            <w:r>
              <w:t xml:space="preserve">-0.0063</w:t>
            </w:r>
          </w:p>
        </w:tc>
        <w:tc>
          <w:tcPr/>
          <w:p>
            <w:pPr>
              <w:pStyle w:val="Compact"/>
            </w:pPr>
            <w:r>
              <w:t xml:space="preserve">-0.0654**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(0.2081)</w:t>
            </w:r>
          </w:p>
        </w:tc>
        <w:tc>
          <w:tcPr/>
          <w:p>
            <w:pPr>
              <w:pStyle w:val="Compact"/>
            </w:pPr>
            <w:r>
              <w:t xml:space="preserve">(0.0278)</w:t>
            </w:r>
          </w:p>
        </w:tc>
        <w:tc>
          <w:tcPr/>
          <w:p>
            <w:pPr>
              <w:pStyle w:val="Compact"/>
            </w:pPr>
            <w:r>
              <w:t xml:space="preserve">(0.0277)</w:t>
            </w:r>
          </w:p>
        </w:tc>
        <w:tc>
          <w:tcPr/>
          <w:p>
            <w:pPr>
              <w:pStyle w:val="Compact"/>
            </w:pPr>
            <w:r>
              <w:t xml:space="preserve">(0.0277)</w:t>
            </w:r>
          </w:p>
        </w:tc>
        <w:tc>
          <w:tcPr/>
          <w:p>
            <w:pPr>
              <w:pStyle w:val="Compact"/>
            </w:pPr>
            <w:r>
              <w:t xml:space="preserve">(0.0307)</w:t>
            </w:r>
          </w:p>
        </w:tc>
        <w:tc>
          <w:tcPr/>
          <w:p>
            <w:pPr>
              <w:pStyle w:val="Compact"/>
            </w:pPr>
            <w:r>
              <w:t xml:space="preserve">(0.0322)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2183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Dependent variable: ln(labor productivity) = ln(VA / employment), OECD STAN.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 (0): Pooled OLS, no fixed effects (naive baseline; identification-strategy comparator).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Cols (1)-(3): Two-way FE (country-industry pair + year FE). Col (2b): extended moderator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(HighCapital, country-specific median split of capform - see STEP 5b), reported alongside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the primary HighAI interaction in Col (2), not replacing it.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 (4): Two-step Difference GMM (transformation=</w:t>
            </w:r>
            <w:r>
              <w:t xml:space="preserve">“d”</w:t>
            </w:r>
            <w:r>
              <w:t xml:space="preserve">; five true-System-GMM variants tested in STEP 8.4b did not jointly satisfy significance, AR(2), Hansen J and</w:t>
            </w:r>
            <w:r>
              <w:t xml:space="preserve"> </w:t>
            </w:r>
            <w:r>
              <w:t xml:space="preserve">instrument-count criteria, so the original Difference GMM specification is reported here, honestly relabeled).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FE-IV: Bartik instrument GTI_bartik = ln(base_GTI_ic+1) x ln(global_excl_patents_it</w:t>
            </w:r>
          </w:p>
        </w:tc>
        <w:tc>
          <w:tcPr>
            <w:gridSpan w:val="5"/>
            <w:vMerge w:val="restart"/>
          </w:tcPr>
          <w:p>
            <w:pPr>
              <w:pStyle w:val="Compact"/>
            </w:pPr>
            <w:r>
              <w:t xml:space="preserve">1); Goldsmith-Pinkham et al. (2020).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>
            <w:gridSpan w:val="5"/>
            <w:vMerge w:val="continue"/>
          </w:tcPr>
          <w:p>
            <w:pPr/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GTI = OECD ENV-TECH (CPC Y02) green patents / billion USD VA.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Base category: HighAI = 0 (AIIE below OECD-industry median, Felten et al. 2021); HighCapital = 0 (capform below that country’s own median).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BUILD/GHG/CCM excluded; G/K/M_N assigned GTI=0 (no direct ENV-TECH sector mapping).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Cols (0)-(3): SE clustered at country-industry pair level; Col (4): two-step robust GMM SE.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0">
    <w:nsid w:val="00A99430"/>
    <w:multiLevelType w:val="multilevel"/>
    <w:lvl w:ilvl="0">
      <w:start w:val="0"/>
      <w:numFmt w:val="decimal"/>
      <w:lvlText w:val="(%1)"/>
      <w:lvlJc w:val="left"/>
      <w:pPr>
        <w:ind w:left="720" w:hanging="360"/>
      </w:pPr>
    </w:lvl>
    <w:lvl w:ilvl="1">
      <w:start w:val="0"/>
      <w:numFmt w:val="decimal"/>
      <w:lvlText w:val="(%2)"/>
      <w:lvlJc w:val="left"/>
      <w:pPr>
        <w:ind w:left="1440" w:hanging="360"/>
      </w:pPr>
    </w:lvl>
    <w:lvl w:ilvl="2">
      <w:start w:val="0"/>
      <w:numFmt w:val="decimal"/>
      <w:lvlText w:val="(%3)"/>
      <w:lvlJc w:val="left"/>
      <w:pPr>
        <w:ind w:left="2160" w:hanging="360"/>
      </w:pPr>
    </w:lvl>
    <w:lvl w:ilvl="3">
      <w:start w:val="0"/>
      <w:numFmt w:val="decimal"/>
      <w:lvlText w:val="(%4)"/>
      <w:lvlJc w:val="left"/>
      <w:pPr>
        <w:ind w:left="2880" w:hanging="360"/>
      </w:pPr>
    </w:lvl>
    <w:lvl w:ilvl="4">
      <w:start w:val="0"/>
      <w:numFmt w:val="decimal"/>
      <w:lvlText w:val="(%5)"/>
      <w:lvlJc w:val="left"/>
      <w:pPr>
        <w:ind w:left="3600" w:hanging="360"/>
      </w:pPr>
    </w:lvl>
    <w:lvl w:ilvl="5">
      <w:start w:val="0"/>
      <w:numFmt w:val="decimal"/>
      <w:lvlText w:val="(%6)"/>
      <w:lvlJc w:val="left"/>
      <w:pPr>
        <w:ind w:left="4320" w:hanging="360"/>
      </w:pPr>
    </w:lvl>
    <w:lvl w:ilvl="6">
      <w:start w:val="0"/>
      <w:numFmt w:val="decimal"/>
      <w:lvlText w:val="(%7)"/>
      <w:lvlJc w:val="left"/>
      <w:pPr>
        <w:ind w:left="5040" w:hanging="360"/>
      </w:pPr>
    </w:lvl>
    <w:lvl w:ilvl="7">
      <w:start w:val="0"/>
      <w:numFmt w:val="decimal"/>
      <w:lvlText w:val="(%8)"/>
      <w:lvlJc w:val="left"/>
      <w:pPr>
        <w:ind w:left="5760" w:hanging="360"/>
      </w:pPr>
    </w:lvl>
    <w:lvl w:ilvl="8">
      <w:start w:val="0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2026-07-14T10:11:56Z</dcterms:created>
  <dcterms:modified xsi:type="dcterms:W3CDTF">2026-07-14T10:11:56Z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