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8. Main Results: Green Technology Intensity and Labor Productivity (OECD Panel)</w:t>
      </w:r>
    </w:p>
    <w:tbl>
      <w:tblPr>
        <w:tblStyle w:val="Table"/>
        <w:tblW w:type="pct" w:w="4856"/>
        <w:tblLayout w:type="fixed"/>
        <w:tblLook w:firstRow="1" w:lastRow="1" w:firstColumn="0" w:lastColumn="0" w:noHBand="0" w:noVBand="0" w:val="0020"/>
        <w:tblCaption w:val="Table 8. Main Results: Green Technology Intensity and Labor Productivity (OECD Panel)"/>
      </w:tblPr>
      <w:tblGrid>
        <w:gridCol w:w="3095"/>
        <w:gridCol w:w="773"/>
        <w:gridCol w:w="591"/>
        <w:gridCol w:w="864"/>
        <w:gridCol w:w="1092"/>
        <w:gridCol w:w="546"/>
        <w:gridCol w:w="72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Pooled OLS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FE+Interact.</w:t>
            </w:r>
          </w:p>
        </w:tc>
        <w:tc>
          <w:tcPr/>
          <w:p>
            <w:pPr>
              <w:pStyle w:val="Compact"/>
            </w:pPr>
            <w:r>
              <w:t xml:space="preserve">(2b) FE+Interact.(HC)</w:t>
            </w:r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FE-IV</w:t>
            </w:r>
          </w:p>
        </w:tc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Diff. GMM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ln(GTI+1): Green technology intensity (log patents per bn USD VA)</w:t>
            </w:r>
          </w:p>
        </w:tc>
        <w:tc>
          <w:tcPr/>
          <w:p>
            <w:pPr>
              <w:pStyle w:val="Compact"/>
            </w:pPr>
            <w:r>
              <w:t xml:space="preserve">-0.0814**</w:t>
            </w:r>
          </w:p>
        </w:tc>
        <w:tc>
          <w:tcPr/>
          <w:p>
            <w:pPr>
              <w:pStyle w:val="Compact"/>
            </w:pPr>
            <w:r>
              <w:t xml:space="preserve">-0.0134</w:t>
            </w:r>
          </w:p>
        </w:tc>
        <w:tc>
          <w:tcPr/>
          <w:p>
            <w:pPr>
              <w:pStyle w:val="Compact"/>
            </w:pPr>
            <w:r>
              <w:t xml:space="preserve">-0.0358*</w:t>
            </w:r>
          </w:p>
        </w:tc>
        <w:tc>
          <w:tcPr/>
          <w:p>
            <w:pPr>
              <w:pStyle w:val="Compact"/>
            </w:pPr>
            <w:r>
              <w:t xml:space="preserve">-0.0149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-0.0458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(0.0326)</w:t>
            </w:r>
          </w:p>
        </w:tc>
        <w:tc>
          <w:tcPr/>
          <w:p>
            <w:pPr>
              <w:pStyle w:val="Compact"/>
            </w:pPr>
            <w:r>
              <w:t xml:space="preserve">(0.0122)</w:t>
            </w:r>
          </w:p>
        </w:tc>
        <w:tc>
          <w:tcPr/>
          <w:p>
            <w:pPr>
              <w:pStyle w:val="Compact"/>
            </w:pPr>
            <w:r>
              <w:t xml:space="preserve">(0.0194)</w:t>
            </w:r>
          </w:p>
        </w:tc>
        <w:tc>
          <w:tcPr/>
          <w:p>
            <w:pPr>
              <w:pStyle w:val="Compact"/>
            </w:pPr>
            <w:r>
              <w:t xml:space="preserve">(0.0130)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ln(GTI+1): Green technology intensity (IV)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0.0187***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ln(GTI+1) x High-AI dummy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0.0420**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(0.0197)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ln(GTI+1) x High-Capital dummy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Lagged labor productivity (t-1)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0.8188**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(0.3457)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1.1473*</w:t>
            </w:r>
          </w:p>
        </w:tc>
        <w:tc>
          <w:tcPr/>
          <w:p>
            <w:pPr>
              <w:pStyle w:val="Compact"/>
            </w:pPr>
            <w:r>
              <w:t xml:space="preserve">-0.2788*</w:t>
            </w:r>
          </w:p>
        </w:tc>
        <w:tc>
          <w:tcPr/>
          <w:p>
            <w:pPr>
              <w:pStyle w:val="Compact"/>
            </w:pPr>
            <w:r>
              <w:t xml:space="preserve">-0.2767*</w:t>
            </w:r>
          </w:p>
        </w:tc>
        <w:tc>
          <w:tcPr/>
          <w:p>
            <w:pPr>
              <w:pStyle w:val="Compact"/>
            </w:pPr>
            <w:r>
              <w:t xml:space="preserve">-0.2882*</w:t>
            </w:r>
          </w:p>
        </w:tc>
        <w:tc>
          <w:tcPr/>
          <w:p>
            <w:pPr>
              <w:pStyle w:val="Compact"/>
            </w:pPr>
            <w:r>
              <w:t xml:space="preserve">-0.3906**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(0.6811)</w:t>
            </w:r>
          </w:p>
        </w:tc>
        <w:tc>
          <w:tcPr/>
          <w:p>
            <w:pPr>
              <w:pStyle w:val="Compact"/>
            </w:pPr>
            <w:r>
              <w:t xml:space="preserve">(0.1578)</w:t>
            </w:r>
          </w:p>
        </w:tc>
        <w:tc>
          <w:tcPr/>
          <w:p>
            <w:pPr>
              <w:pStyle w:val="Compact"/>
            </w:pPr>
            <w:r>
              <w:t xml:space="preserve">(0.1556)</w:t>
            </w:r>
          </w:p>
        </w:tc>
        <w:tc>
          <w:tcPr/>
          <w:p>
            <w:pPr>
              <w:pStyle w:val="Compact"/>
            </w:pPr>
            <w:r>
              <w:t xml:space="preserve">(0.1590)</w:t>
            </w:r>
          </w:p>
        </w:tc>
        <w:tc>
          <w:tcPr/>
          <w:p>
            <w:pPr>
              <w:pStyle w:val="Compact"/>
            </w:pPr>
            <w:r>
              <w:t xml:space="preserve">(0.1910)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-1.3354***</w:t>
            </w:r>
          </w:p>
        </w:tc>
        <w:tc>
          <w:tcPr/>
          <w:p>
            <w:pPr>
              <w:pStyle w:val="Compact"/>
            </w:pPr>
            <w:r>
              <w:t xml:space="preserve">0.5750**</w:t>
            </w:r>
          </w:p>
        </w:tc>
        <w:tc>
          <w:tcPr/>
          <w:p>
            <w:pPr>
              <w:pStyle w:val="Compact"/>
            </w:pPr>
            <w:r>
              <w:t xml:space="preserve">0.5778**</w:t>
            </w:r>
          </w:p>
        </w:tc>
        <w:tc>
          <w:tcPr/>
          <w:p>
            <w:pPr>
              <w:pStyle w:val="Compact"/>
            </w:pPr>
            <w:r>
              <w:t xml:space="preserve">0.5757**</w:t>
            </w:r>
          </w:p>
        </w:tc>
        <w:tc>
          <w:tcPr/>
          <w:p>
            <w:pPr>
              <w:pStyle w:val="Compact"/>
            </w:pPr>
            <w:r>
              <w:t xml:space="preserve">0.5151*</w:t>
            </w:r>
          </w:p>
        </w:tc>
        <w:tc>
          <w:tcPr/>
          <w:p>
            <w:pPr>
              <w:pStyle w:val="Compact"/>
            </w:pPr>
            <w:r>
              <w:t xml:space="preserve">0.5124**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(0.3493)</w:t>
            </w:r>
          </w:p>
        </w:tc>
        <w:tc>
          <w:tcPr/>
          <w:p>
            <w:pPr>
              <w:pStyle w:val="Compact"/>
            </w:pPr>
            <w:r>
              <w:t xml:space="preserve">(0.2415)</w:t>
            </w:r>
          </w:p>
        </w:tc>
        <w:tc>
          <w:tcPr/>
          <w:p>
            <w:pPr>
              <w:pStyle w:val="Compact"/>
            </w:pPr>
            <w:r>
              <w:t xml:space="preserve">(0.2378)</w:t>
            </w:r>
          </w:p>
        </w:tc>
        <w:tc>
          <w:tcPr/>
          <w:p>
            <w:pPr>
              <w:pStyle w:val="Compact"/>
            </w:pPr>
            <w:r>
              <w:t xml:space="preserve">(0.2412)</w:t>
            </w:r>
          </w:p>
        </w:tc>
        <w:tc>
          <w:tcPr/>
          <w:p>
            <w:pPr>
              <w:pStyle w:val="Compact"/>
            </w:pPr>
            <w:r>
              <w:t xml:space="preserve">(0.2664)</w:t>
            </w:r>
          </w:p>
        </w:tc>
        <w:tc>
          <w:tcPr/>
          <w:p>
            <w:pPr>
              <w:pStyle w:val="Compact"/>
            </w:pPr>
            <w:r>
              <w:t xml:space="preserve">(0.2378)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-0.0015</w:t>
            </w:r>
          </w:p>
        </w:tc>
        <w:tc>
          <w:tcPr/>
          <w:p>
            <w:pPr>
              <w:pStyle w:val="Compact"/>
            </w:pPr>
            <w:r>
              <w:t xml:space="preserve">-0.0016</w:t>
            </w:r>
          </w:p>
        </w:tc>
        <w:tc>
          <w:tcPr/>
          <w:p>
            <w:pPr>
              <w:pStyle w:val="Compact"/>
            </w:pPr>
            <w:r>
              <w:t xml:space="preserve">-0.0015</w:t>
            </w:r>
          </w:p>
        </w:tc>
        <w:tc>
          <w:tcPr/>
          <w:p>
            <w:pPr>
              <w:pStyle w:val="Compact"/>
            </w:pPr>
            <w:r>
              <w:t xml:space="preserve">-0.0015</w:t>
            </w:r>
          </w:p>
        </w:tc>
        <w:tc>
          <w:tcPr/>
          <w:p>
            <w:pPr>
              <w:pStyle w:val="Compact"/>
            </w:pPr>
            <w:r>
              <w:t xml:space="preserve">0.0020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(0.0105)</w:t>
            </w:r>
          </w:p>
        </w:tc>
        <w:tc>
          <w:tcPr/>
          <w:p>
            <w:pPr>
              <w:pStyle w:val="Compact"/>
            </w:pPr>
            <w:r>
              <w:t xml:space="preserve">(0.0026)</w:t>
            </w:r>
          </w:p>
        </w:tc>
        <w:tc>
          <w:tcPr/>
          <w:p>
            <w:pPr>
              <w:pStyle w:val="Compact"/>
            </w:pPr>
            <w:r>
              <w:t xml:space="preserve">(0.0025)</w:t>
            </w:r>
          </w:p>
        </w:tc>
        <w:tc>
          <w:tcPr/>
          <w:p>
            <w:pPr>
              <w:pStyle w:val="Compact"/>
            </w:pPr>
            <w:r>
              <w:t xml:space="preserve">(0.0026)</w:t>
            </w:r>
          </w:p>
        </w:tc>
        <w:tc>
          <w:tcPr/>
          <w:p>
            <w:pPr>
              <w:pStyle w:val="Compact"/>
            </w:pPr>
            <w:r>
              <w:t xml:space="preserve">(0.0028)</w:t>
            </w:r>
          </w:p>
        </w:tc>
        <w:tc>
          <w:tcPr/>
          <w:p>
            <w:pPr>
              <w:pStyle w:val="Compact"/>
            </w:pPr>
            <w:r>
              <w:t xml:space="preserve">(0.0023)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0.0199</w:t>
            </w:r>
          </w:p>
        </w:tc>
        <w:tc>
          <w:tcPr/>
          <w:p>
            <w:pPr>
              <w:pStyle w:val="Compact"/>
            </w:pPr>
            <w:r>
              <w:t xml:space="preserve">-0.0111***</w:t>
            </w:r>
          </w:p>
        </w:tc>
        <w:tc>
          <w:tcPr/>
          <w:p>
            <w:pPr>
              <w:pStyle w:val="Compact"/>
            </w:pPr>
            <w:r>
              <w:t xml:space="preserve">-0.0111***</w:t>
            </w:r>
          </w:p>
        </w:tc>
        <w:tc>
          <w:tcPr/>
          <w:p>
            <w:pPr>
              <w:pStyle w:val="Compact"/>
            </w:pPr>
            <w:r>
              <w:t xml:space="preserve">-0.0111***</w:t>
            </w:r>
          </w:p>
        </w:tc>
        <w:tc>
          <w:tcPr/>
          <w:p>
            <w:pPr>
              <w:pStyle w:val="Compact"/>
            </w:pPr>
            <w:r>
              <w:t xml:space="preserve">-0.0077**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(0.0158)</w:t>
            </w:r>
          </w:p>
        </w:tc>
        <w:tc>
          <w:tcPr/>
          <w:p>
            <w:pPr>
              <w:pStyle w:val="Compact"/>
            </w:pPr>
            <w:r>
              <w:t xml:space="preserve">(0.0029)</w:t>
            </w:r>
          </w:p>
        </w:tc>
        <w:tc>
          <w:tcPr/>
          <w:p>
            <w:pPr>
              <w:pStyle w:val="Compact"/>
            </w:pPr>
            <w:r>
              <w:t xml:space="preserve">(0.0029)</w:t>
            </w:r>
          </w:p>
        </w:tc>
        <w:tc>
          <w:tcPr/>
          <w:p>
            <w:pPr>
              <w:pStyle w:val="Compact"/>
            </w:pPr>
            <w:r>
              <w:t xml:space="preserve">(0.0029)</w:t>
            </w:r>
          </w:p>
        </w:tc>
        <w:tc>
          <w:tcPr/>
          <w:p>
            <w:pPr>
              <w:pStyle w:val="Compact"/>
            </w:pPr>
            <w:r>
              <w:t xml:space="preserve">(0.0032)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Tertiary school enrollment (%)</w:t>
            </w:r>
          </w:p>
        </w:tc>
        <w:tc>
          <w:tcPr/>
          <w:p>
            <w:pPr>
              <w:pStyle w:val="Compact"/>
            </w:pPr>
            <w:r>
              <w:t xml:space="preserve">-0.0065</w:t>
            </w:r>
          </w:p>
        </w:tc>
        <w:tc>
          <w:tcPr/>
          <w:p>
            <w:pPr>
              <w:pStyle w:val="Compact"/>
            </w:pPr>
            <w:r>
              <w:t xml:space="preserve">0.0006</w:t>
            </w:r>
          </w:p>
        </w:tc>
        <w:tc>
          <w:tcPr/>
          <w:p>
            <w:pPr>
              <w:pStyle w:val="Compact"/>
            </w:pPr>
            <w:r>
              <w:t xml:space="preserve">0.0005</w:t>
            </w:r>
          </w:p>
        </w:tc>
        <w:tc>
          <w:tcPr/>
          <w:p>
            <w:pPr>
              <w:pStyle w:val="Compact"/>
            </w:pPr>
            <w:r>
              <w:t xml:space="preserve">0.0006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(0.0056)</w:t>
            </w:r>
          </w:p>
        </w:tc>
        <w:tc>
          <w:tcPr/>
          <w:p>
            <w:pPr>
              <w:pStyle w:val="Compact"/>
            </w:pPr>
            <w:r>
              <w:t xml:space="preserve">(0.0013)</w:t>
            </w:r>
          </w:p>
        </w:tc>
        <w:tc>
          <w:tcPr/>
          <w:p>
            <w:pPr>
              <w:pStyle w:val="Compact"/>
            </w:pPr>
            <w:r>
              <w:t xml:space="preserve">(0.0013)</w:t>
            </w:r>
          </w:p>
        </w:tc>
        <w:tc>
          <w:tcPr/>
          <w:p>
            <w:pPr>
              <w:pStyle w:val="Compact"/>
            </w:pPr>
            <w:r>
              <w:t xml:space="preserve">(0.0013)</w:t>
            </w:r>
          </w:p>
        </w:tc>
        <w:tc>
          <w:tcPr/>
          <w:p>
            <w:pPr>
              <w:pStyle w:val="Compact"/>
            </w:pPr>
            <w:r>
              <w:t xml:space="preserve">(0.0011)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1.3248***</w:t>
            </w:r>
          </w:p>
        </w:tc>
        <w:tc>
          <w:tcPr/>
          <w:p>
            <w:pPr>
              <w:pStyle w:val="Compact"/>
            </w:pPr>
            <w:r>
              <w:t xml:space="preserve">-0.0080</w:t>
            </w:r>
          </w:p>
        </w:tc>
        <w:tc>
          <w:tcPr/>
          <w:p>
            <w:pPr>
              <w:pStyle w:val="Compact"/>
            </w:pPr>
            <w:r>
              <w:t xml:space="preserve">-0.0081</w:t>
            </w:r>
          </w:p>
        </w:tc>
        <w:tc>
          <w:tcPr/>
          <w:p>
            <w:pPr>
              <w:pStyle w:val="Compact"/>
            </w:pPr>
            <w:r>
              <w:t xml:space="preserve">-0.0077</w:t>
            </w:r>
          </w:p>
        </w:tc>
        <w:tc>
          <w:tcPr/>
          <w:p>
            <w:pPr>
              <w:pStyle w:val="Compact"/>
            </w:pPr>
            <w:r>
              <w:t xml:space="preserve">-0.0063</w:t>
            </w:r>
          </w:p>
        </w:tc>
        <w:tc>
          <w:tcPr/>
          <w:p>
            <w:pPr>
              <w:pStyle w:val="Compact"/>
            </w:pPr>
            <w:r>
              <w:t xml:space="preserve">-0.0654**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(0.2081)</w:t>
            </w:r>
          </w:p>
        </w:tc>
        <w:tc>
          <w:tcPr/>
          <w:p>
            <w:pPr>
              <w:pStyle w:val="Compact"/>
            </w:pPr>
            <w:r>
              <w:t xml:space="preserve">(0.0278)</w:t>
            </w:r>
          </w:p>
        </w:tc>
        <w:tc>
          <w:tcPr/>
          <w:p>
            <w:pPr>
              <w:pStyle w:val="Compact"/>
            </w:pPr>
            <w:r>
              <w:t xml:space="preserve">(0.0277)</w:t>
            </w:r>
          </w:p>
        </w:tc>
        <w:tc>
          <w:tcPr/>
          <w:p>
            <w:pPr>
              <w:pStyle w:val="Compact"/>
            </w:pPr>
            <w:r>
              <w:t xml:space="preserve">(0.0277)</w:t>
            </w:r>
          </w:p>
        </w:tc>
        <w:tc>
          <w:tcPr/>
          <w:p>
            <w:pPr>
              <w:pStyle w:val="Compact"/>
            </w:pPr>
            <w:r>
              <w:t xml:space="preserve">(0.0307)</w:t>
            </w:r>
          </w:p>
        </w:tc>
        <w:tc>
          <w:tcPr/>
          <w:p>
            <w:pPr>
              <w:pStyle w:val="Compact"/>
            </w:pPr>
            <w:r>
              <w:t xml:space="preserve">(0.0322)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2183</w:t>
            </w:r>
          </w:p>
        </w:tc>
        <w:tc>
          <w:tcPr/>
          <w:p>
            <w:pPr>
              <w:pStyle w:val="Compact"/>
            </w:pPr>
            <w:r>
              <w:t xml:space="preserve">2183</w:t>
            </w:r>
          </w:p>
        </w:tc>
        <w:tc>
          <w:tcPr/>
          <w:p>
            <w:pPr>
              <w:pStyle w:val="Compact"/>
            </w:pPr>
            <w:r>
              <w:t xml:space="preserve">2183</w:t>
            </w:r>
          </w:p>
        </w:tc>
        <w:tc>
          <w:tcPr/>
          <w:p>
            <w:pPr>
              <w:pStyle w:val="Compact"/>
            </w:pPr>
            <w:r>
              <w:t xml:space="preserve">2183</w:t>
            </w:r>
          </w:p>
        </w:tc>
        <w:tc>
          <w:tcPr/>
          <w:p>
            <w:pPr>
              <w:pStyle w:val="Compact"/>
            </w:pPr>
            <w:r>
              <w:t xml:space="preserve">1847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0.331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0.175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0.139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Dependent variable: ln(labor productivity) = ln(VA / employment), OECD STAN.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Col (0): Pooled OLS, no fixed effects (naive baseline; identification-strategy comparator).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Cols (1)-(3): Two-way FE (country-industry pair + year FE). Col (2b): extended moderator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(HighCapital, country-specific median split of capform - see STEP 5b), reported alongside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the primary HighAI interaction in Col (2), not replacing it.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Col (4): Two-step Difference GMM (transformation=</w:t>
            </w:r>
            <w:r>
              <w:t xml:space="preserve">“d”</w:t>
            </w:r>
            <w:r>
              <w:t xml:space="preserve">; five true-System-GMM variants tested in STEP 8.4b did not jointly satisfy significance, AR(2), Hansen J and</w:t>
            </w:r>
            <w:r>
              <w:t xml:space="preserve"> </w:t>
            </w:r>
            <w:r>
              <w:t xml:space="preserve">instrument-count criteria, so the original Difference GMM specification is reported here, honestly relabeled).</w:t>
            </w:r>
          </w:p>
        </w:tc>
      </w:tr>
      <w:tr>
        <w:tc>
          <w:tcPr>
            <w:gridSpan w:val="2"/>
            <w:vMerge w:val="restart"/>
          </w:tcPr>
          <w:p>
            <w:pPr>
              <w:pStyle w:val="Compact"/>
            </w:pPr>
            <w:r>
              <w:t xml:space="preserve">FE-IV: Bartik instrument GTI_bartik = ln(base_GTI_ic+1) x ln(global_excl_patents_it</w:t>
            </w:r>
          </w:p>
        </w:tc>
        <w:tc>
          <w:tcPr>
            <w:gridSpan w:val="5"/>
            <w:vMerge w:val="restart"/>
          </w:tcPr>
          <w:p>
            <w:pPr>
              <w:pStyle w:val="Compact"/>
            </w:pPr>
            <w:r>
              <w:t xml:space="preserve">1); Goldsmith-Pinkham et al. (2020).</w:t>
            </w: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>
            <w:gridSpan w:val="5"/>
            <w:vMerge w:val="continue"/>
          </w:tcPr>
          <w:p>
            <w:pPr/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GTI = OECD ENV-TECH (CPC Y02) green patents / billion USD VA.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Base category: HighAI = 0 (AIIE below OECD-industry median, Felten et al. 2021); HighCapital = 0 (capform below that country’s own median).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BUILD/GHG/CCM excluded; G/K/M_N assigned GTI=0 (no direct ENV-TECH sector mapping).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Cols (0)-(3): SE clustered at country-industry pair level; Col (4): two-step robust GMM SE.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0">
    <w:nsid w:val="00A99430"/>
    <w:multiLevelType w:val="multilevel"/>
    <w:lvl w:ilvl="0">
      <w:start w:val="0"/>
      <w:numFmt w:val="decimal"/>
      <w:lvlText w:val="(%1)"/>
      <w:lvlJc w:val="left"/>
      <w:pPr>
        <w:ind w:left="720" w:hanging="360"/>
      </w:pPr>
    </w:lvl>
    <w:lvl w:ilvl="1">
      <w:start w:val="0"/>
      <w:numFmt w:val="decimal"/>
      <w:lvlText w:val="(%2)"/>
      <w:lvlJc w:val="left"/>
      <w:pPr>
        <w:ind w:left="1440" w:hanging="360"/>
      </w:pPr>
    </w:lvl>
    <w:lvl w:ilvl="2">
      <w:start w:val="0"/>
      <w:numFmt w:val="decimal"/>
      <w:lvlText w:val="(%3)"/>
      <w:lvlJc w:val="left"/>
      <w:pPr>
        <w:ind w:left="2160" w:hanging="360"/>
      </w:pPr>
    </w:lvl>
    <w:lvl w:ilvl="3">
      <w:start w:val="0"/>
      <w:numFmt w:val="decimal"/>
      <w:lvlText w:val="(%4)"/>
      <w:lvlJc w:val="left"/>
      <w:pPr>
        <w:ind w:left="2880" w:hanging="360"/>
      </w:pPr>
    </w:lvl>
    <w:lvl w:ilvl="4">
      <w:start w:val="0"/>
      <w:numFmt w:val="decimal"/>
      <w:lvlText w:val="(%5)"/>
      <w:lvlJc w:val="left"/>
      <w:pPr>
        <w:ind w:left="3600" w:hanging="360"/>
      </w:pPr>
    </w:lvl>
    <w:lvl w:ilvl="5">
      <w:start w:val="0"/>
      <w:numFmt w:val="decimal"/>
      <w:lvlText w:val="(%6)"/>
      <w:lvlJc w:val="left"/>
      <w:pPr>
        <w:ind w:left="4320" w:hanging="360"/>
      </w:pPr>
    </w:lvl>
    <w:lvl w:ilvl="6">
      <w:start w:val="0"/>
      <w:numFmt w:val="decimal"/>
      <w:lvlText w:val="(%7)"/>
      <w:lvlJc w:val="left"/>
      <w:pPr>
        <w:ind w:left="5040" w:hanging="360"/>
      </w:pPr>
    </w:lvl>
    <w:lvl w:ilvl="7">
      <w:start w:val="0"/>
      <w:numFmt w:val="decimal"/>
      <w:lvlText w:val="(%8)"/>
      <w:lvlJc w:val="left"/>
      <w:pPr>
        <w:ind w:left="5760" w:hanging="360"/>
      </w:pPr>
    </w:lvl>
    <w:lvl w:ilvl="8">
      <w:start w:val="0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2026-07-22T06:12:38Z</dcterms:created>
  <dcterms:modified xsi:type="dcterms:W3CDTF">2026-07-22T06:12:38Z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