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9. Robustness Checks: OECD Panel</w:t>
      </w:r>
    </w:p>
    <w:tbl>
      <w:tblPr>
        <w:tblStyle w:val="Table"/>
        <w:tblW w:type="pct" w:w="4840"/>
        <w:tblLayout w:type="fixed"/>
        <w:tblLook w:firstRow="1" w:lastRow="1" w:firstColumn="0" w:lastColumn="0" w:noHBand="0" w:noVBand="0" w:val="0020"/>
        <w:tblCaption w:val="Table 9. Robustness Checks: OECD Panel"/>
      </w:tblPr>
      <w:tblGrid>
        <w:gridCol w:w="2287"/>
        <w:gridCol w:w="635"/>
        <w:gridCol w:w="677"/>
        <w:gridCol w:w="635"/>
        <w:gridCol w:w="889"/>
        <w:gridCol w:w="847"/>
        <w:gridCol w:w="762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(R1) Wage DV</w:t>
            </w:r>
          </w:p>
        </w:tc>
        <w:tc>
          <w:tcPr/>
          <w:p>
            <w:pPr>
              <w:pStyle w:val="Compact"/>
            </w:pPr>
            <w:r>
              <w:t xml:space="preserve">(R2a) High-AI</w:t>
            </w:r>
          </w:p>
        </w:tc>
        <w:tc>
          <w:tcPr/>
          <w:p>
            <w:pPr>
              <w:pStyle w:val="Compact"/>
            </w:pPr>
            <w:r>
              <w:t xml:space="preserve">(R2b) Low-AI</w:t>
            </w:r>
          </w:p>
        </w:tc>
        <w:tc>
          <w:tcPr/>
          <w:p>
            <w:pPr>
              <w:pStyle w:val="Compact"/>
            </w:pPr>
            <w:r>
              <w:t xml:space="preserve">(R2c) High-Capital</w:t>
            </w:r>
          </w:p>
        </w:tc>
        <w:tc>
          <w:tcPr/>
          <w:p>
            <w:pPr>
              <w:pStyle w:val="Compact"/>
            </w:pPr>
            <w:r>
              <w:t xml:space="preserve">(R2d) Low-Capital</w:t>
            </w:r>
          </w:p>
        </w:tc>
        <w:tc>
          <w:tcPr/>
          <w:p>
            <w:pPr>
              <w:pStyle w:val="Compact"/>
            </w:pPr>
            <w:r>
              <w:t xml:space="preserve">(R4) Placebo FE</w:t>
            </w:r>
          </w:p>
        </w:tc>
        <w:tc>
          <w:tcPr/>
          <w:p>
            <w:pPr>
              <w:pStyle w:val="Compact"/>
            </w:pPr>
            <w:r>
              <w:t xml:space="preserve">(R5) C+D_E+H+J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(IV)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  <w:tc>
          <w:tcPr/>
          <w:p>
            <w:pPr>
              <w:pStyle w:val="Compact"/>
            </w:pPr>
            <w:r>
              <w:t xml:space="preserve">0.0161**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0.0056</w:t>
            </w:r>
          </w:p>
        </w:tc>
        <w:tc>
          <w:tcPr/>
          <w:p>
            <w:pPr>
              <w:pStyle w:val="Compact"/>
            </w:pPr>
            <w:r>
              <w:t xml:space="preserve">-0.0069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0.0121*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(0.0078)</w:t>
            </w:r>
          </w:p>
        </w:tc>
        <w:tc>
          <w:tcPr/>
          <w:p>
            <w:pPr>
              <w:pStyle w:val="Compact"/>
            </w:pPr>
            <w:r>
              <w:t xml:space="preserve">(0.0149)</w:t>
            </w:r>
          </w:p>
        </w:tc>
        <w:tc>
          <w:tcPr/>
          <w:p>
            <w:pPr>
              <w:pStyle w:val="Compact"/>
            </w:pPr>
            <w:r>
              <w:t xml:space="preserve">(0.0079)</w:t>
            </w:r>
          </w:p>
        </w:tc>
        <w:tc>
          <w:tcPr/>
          <w:p>
            <w:pPr>
              <w:pStyle w:val="Compact"/>
            </w:pPr>
            <w:r>
              <w:t xml:space="preserve">(0.0067)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0.0292</w:t>
            </w:r>
          </w:p>
        </w:tc>
        <w:tc>
          <w:tcPr/>
          <w:p>
            <w:pPr>
              <w:pStyle w:val="Compact"/>
            </w:pPr>
            <w:r>
              <w:t xml:space="preserve">-0.0091</w:t>
            </w:r>
          </w:p>
        </w:tc>
        <w:tc>
          <w:tcPr/>
          <w:p>
            <w:pPr>
              <w:pStyle w:val="Compact"/>
            </w:pPr>
            <w:r>
              <w:t xml:space="preserve">-0.5051**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-0.0278</w:t>
            </w:r>
          </w:p>
        </w:tc>
        <w:tc>
          <w:tcPr/>
          <w:p>
            <w:pPr>
              <w:pStyle w:val="Compact"/>
            </w:pPr>
            <w:r>
              <w:t xml:space="preserve">-0.3594*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(0.0287)</w:t>
            </w:r>
          </w:p>
        </w:tc>
        <w:tc>
          <w:tcPr/>
          <w:p>
            <w:pPr>
              <w:pStyle w:val="Compact"/>
            </w:pPr>
            <w:r>
              <w:t xml:space="preserve">(0.1141)</w:t>
            </w:r>
          </w:p>
        </w:tc>
        <w:tc>
          <w:tcPr/>
          <w:p>
            <w:pPr>
              <w:pStyle w:val="Compact"/>
            </w:pPr>
            <w:r>
              <w:t xml:space="preserve">(0.2265)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(0.1071)</w:t>
            </w:r>
          </w:p>
        </w:tc>
        <w:tc>
          <w:tcPr/>
          <w:p>
            <w:pPr>
              <w:pStyle w:val="Compact"/>
            </w:pPr>
            <w:r>
              <w:t xml:space="preserve">(0.1948)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0.3247***</w:t>
            </w:r>
          </w:p>
        </w:tc>
        <w:tc>
          <w:tcPr/>
          <w:p>
            <w:pPr>
              <w:pStyle w:val="Compact"/>
            </w:pPr>
            <w:r>
              <w:t xml:space="preserve">0.6604**</w:t>
            </w:r>
          </w:p>
        </w:tc>
        <w:tc>
          <w:tcPr/>
          <w:p>
            <w:pPr>
              <w:pStyle w:val="Compact"/>
            </w:pPr>
            <w:r>
              <w:t xml:space="preserve">0.3224</w:t>
            </w:r>
          </w:p>
        </w:tc>
        <w:tc>
          <w:tcPr/>
          <w:p>
            <w:pPr>
              <w:pStyle w:val="Compact"/>
            </w:pPr>
            <w:r>
              <w:t xml:space="preserve">0.3715</w:t>
            </w:r>
          </w:p>
        </w:tc>
        <w:tc>
          <w:tcPr/>
          <w:p>
            <w:pPr>
              <w:pStyle w:val="Compact"/>
            </w:pPr>
            <w:r>
              <w:t xml:space="preserve">0.5928*</w:t>
            </w:r>
          </w:p>
        </w:tc>
        <w:tc>
          <w:tcPr/>
          <w:p>
            <w:pPr>
              <w:pStyle w:val="Compact"/>
            </w:pPr>
            <w:r>
              <w:t xml:space="preserve">0.6331***</w:t>
            </w:r>
          </w:p>
        </w:tc>
        <w:tc>
          <w:tcPr/>
          <w:p>
            <w:pPr>
              <w:pStyle w:val="Compact"/>
            </w:pPr>
            <w:r>
              <w:t xml:space="preserve">0.5996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(0.1095)</w:t>
            </w:r>
          </w:p>
        </w:tc>
        <w:tc>
          <w:tcPr/>
          <w:p>
            <w:pPr>
              <w:pStyle w:val="Compact"/>
            </w:pPr>
            <w:r>
              <w:t xml:space="preserve">(0.2525)</w:t>
            </w:r>
          </w:p>
        </w:tc>
        <w:tc>
          <w:tcPr/>
          <w:p>
            <w:pPr>
              <w:pStyle w:val="Compact"/>
            </w:pPr>
            <w:r>
              <w:t xml:space="preserve">(0.5238)</w:t>
            </w:r>
          </w:p>
        </w:tc>
        <w:tc>
          <w:tcPr/>
          <w:p>
            <w:pPr>
              <w:pStyle w:val="Compact"/>
            </w:pPr>
            <w:r>
              <w:t xml:space="preserve">(0.2763)</w:t>
            </w:r>
          </w:p>
        </w:tc>
        <w:tc>
          <w:tcPr/>
          <w:p>
            <w:pPr>
              <w:pStyle w:val="Compact"/>
            </w:pPr>
            <w:r>
              <w:t xml:space="preserve">(0.3302)</w:t>
            </w:r>
          </w:p>
        </w:tc>
        <w:tc>
          <w:tcPr/>
          <w:p>
            <w:pPr>
              <w:pStyle w:val="Compact"/>
            </w:pPr>
            <w:r>
              <w:t xml:space="preserve">(0.2316)</w:t>
            </w:r>
          </w:p>
        </w:tc>
        <w:tc>
          <w:tcPr/>
          <w:p>
            <w:pPr>
              <w:pStyle w:val="Compact"/>
            </w:pPr>
            <w:r>
              <w:t xml:space="preserve">(0.4282)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  <w:tc>
          <w:tcPr/>
          <w:p>
            <w:pPr>
              <w:pStyle w:val="Compact"/>
            </w:pPr>
            <w:r>
              <w:t xml:space="preserve">-0.0046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0.0021</w:t>
            </w:r>
          </w:p>
        </w:tc>
        <w:tc>
          <w:tcPr/>
          <w:p>
            <w:pPr>
              <w:pStyle w:val="Compact"/>
            </w:pPr>
            <w:r>
              <w:t xml:space="preserve">-0.0076**</w:t>
            </w:r>
          </w:p>
        </w:tc>
        <w:tc>
          <w:tcPr/>
          <w:p>
            <w:pPr>
              <w:pStyle w:val="Compact"/>
            </w:pPr>
            <w:r>
              <w:t xml:space="preserve">-0.0001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(0.0016)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(0.0048)</w:t>
            </w:r>
          </w:p>
        </w:tc>
        <w:tc>
          <w:tcPr/>
          <w:p>
            <w:pPr>
              <w:pStyle w:val="Compact"/>
            </w:pPr>
            <w:r>
              <w:t xml:space="preserve">(0.0040)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  <w:tc>
          <w:tcPr/>
          <w:p>
            <w:pPr>
              <w:pStyle w:val="Compact"/>
            </w:pPr>
            <w:r>
              <w:t xml:space="preserve">(0.0022)</w:t>
            </w:r>
          </w:p>
        </w:tc>
        <w:tc>
          <w:tcPr/>
          <w:p>
            <w:pPr>
              <w:pStyle w:val="Compact"/>
            </w:pPr>
            <w:r>
              <w:t xml:space="preserve">(0.0039)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-0.0071**</w:t>
            </w:r>
          </w:p>
        </w:tc>
        <w:tc>
          <w:tcPr/>
          <w:p>
            <w:pPr>
              <w:pStyle w:val="Compact"/>
            </w:pPr>
            <w:r>
              <w:t xml:space="preserve">-0.0091</w:t>
            </w:r>
          </w:p>
        </w:tc>
        <w:tc>
          <w:tcPr/>
          <w:p>
            <w:pPr>
              <w:pStyle w:val="Compact"/>
            </w:pPr>
            <w:r>
              <w:t xml:space="preserve">-0.0093**</w:t>
            </w:r>
          </w:p>
        </w:tc>
        <w:tc>
          <w:tcPr/>
          <w:p>
            <w:pPr>
              <w:pStyle w:val="Compact"/>
            </w:pPr>
            <w:r>
              <w:t xml:space="preserve">-0.0065*</w:t>
            </w:r>
          </w:p>
        </w:tc>
        <w:tc>
          <w:tcPr/>
          <w:p>
            <w:pPr>
              <w:pStyle w:val="Compact"/>
            </w:pPr>
            <w:r>
              <w:t xml:space="preserve">-0.0118***</w:t>
            </w:r>
          </w:p>
        </w:tc>
        <w:tc>
          <w:tcPr/>
          <w:p>
            <w:pPr>
              <w:pStyle w:val="Compact"/>
            </w:pPr>
            <w:r>
              <w:t xml:space="preserve">-0.0103**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(0.0019)</w:t>
            </w:r>
          </w:p>
        </w:tc>
        <w:tc>
          <w:tcPr/>
          <w:p>
            <w:pPr>
              <w:pStyle w:val="Compact"/>
            </w:pPr>
            <w:r>
              <w:t xml:space="preserve">(0.0035)</w:t>
            </w:r>
          </w:p>
        </w:tc>
        <w:tc>
          <w:tcPr/>
          <w:p>
            <w:pPr>
              <w:pStyle w:val="Compact"/>
            </w:pPr>
            <w:r>
              <w:t xml:space="preserve">(0.0055)</w:t>
            </w: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-0.0028***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-0.0001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(0.0007)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(0.0015)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  <w:tc>
          <w:tcPr/>
          <w:p>
            <w:pPr>
              <w:pStyle w:val="Compact"/>
            </w:pPr>
            <w:r>
              <w:t xml:space="preserve">(0.0014)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0.0396***</w:t>
            </w:r>
          </w:p>
        </w:tc>
        <w:tc>
          <w:tcPr/>
          <w:p>
            <w:pPr>
              <w:pStyle w:val="Compact"/>
            </w:pPr>
            <w:r>
              <w:t xml:space="preserve">0.0575**</w:t>
            </w:r>
          </w:p>
        </w:tc>
        <w:tc>
          <w:tcPr/>
          <w:p>
            <w:pPr>
              <w:pStyle w:val="Compact"/>
            </w:pPr>
            <w:r>
              <w:t xml:space="preserve">-0.0808</w:t>
            </w:r>
          </w:p>
        </w:tc>
        <w:tc>
          <w:tcPr/>
          <w:p>
            <w:pPr>
              <w:pStyle w:val="Compact"/>
            </w:pPr>
            <w:r>
              <w:t xml:space="preserve">-0.0571</w:t>
            </w:r>
          </w:p>
        </w:tc>
        <w:tc>
          <w:tcPr/>
          <w:p>
            <w:pPr>
              <w:pStyle w:val="Compact"/>
            </w:pPr>
            <w:r>
              <w:t xml:space="preserve">0.0509*</w:t>
            </w:r>
          </w:p>
        </w:tc>
        <w:tc>
          <w:tcPr/>
          <w:p>
            <w:pPr>
              <w:pStyle w:val="Compact"/>
            </w:pPr>
            <w:r>
              <w:t xml:space="preserve">0.0039</w:t>
            </w:r>
          </w:p>
        </w:tc>
        <w:tc>
          <w:tcPr/>
          <w:p>
            <w:pPr>
              <w:pStyle w:val="Compact"/>
            </w:pPr>
            <w:r>
              <w:t xml:space="preserve">-0.0652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(0.0149)</w:t>
            </w:r>
          </w:p>
        </w:tc>
        <w:tc>
          <w:tcPr/>
          <w:p>
            <w:pPr>
              <w:pStyle w:val="Compact"/>
            </w:pPr>
            <w:r>
              <w:t xml:space="preserve">(0.0238)</w:t>
            </w:r>
          </w:p>
        </w:tc>
        <w:tc>
          <w:tcPr/>
          <w:p>
            <w:pPr>
              <w:pStyle w:val="Compact"/>
            </w:pPr>
            <w:r>
              <w:t xml:space="preserve">(0.0566)</w:t>
            </w:r>
          </w:p>
        </w:tc>
        <w:tc>
          <w:tcPr/>
          <w:p>
            <w:pPr>
              <w:pStyle w:val="Compact"/>
            </w:pPr>
            <w:r>
              <w:t xml:space="preserve">(0.0483)</w:t>
            </w:r>
          </w:p>
        </w:tc>
        <w:tc>
          <w:tcPr/>
          <w:p>
            <w:pPr>
              <w:pStyle w:val="Compact"/>
            </w:pPr>
            <w:r>
              <w:t xml:space="preserve">(0.0301)</w:t>
            </w:r>
          </w:p>
        </w:tc>
        <w:tc>
          <w:tcPr/>
          <w:p>
            <w:pPr>
              <w:pStyle w:val="Compact"/>
            </w:pPr>
            <w:r>
              <w:t xml:space="preserve">(0.0227)</w:t>
            </w:r>
          </w:p>
        </w:tc>
        <w:tc>
          <w:tcPr/>
          <w:p>
            <w:pPr>
              <w:pStyle w:val="Compact"/>
            </w:pPr>
            <w:r>
              <w:t xml:space="preserve">(0.0469)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 placebo (lead +3 yrs)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1841</w:t>
            </w:r>
          </w:p>
        </w:tc>
        <w:tc>
          <w:tcPr/>
          <w:p>
            <w:pPr>
              <w:pStyle w:val="Compact"/>
            </w:pPr>
            <w:r>
              <w:t xml:space="preserve">1055</w:t>
            </w:r>
          </w:p>
        </w:tc>
        <w:tc>
          <w:tcPr/>
          <w:p>
            <w:pPr>
              <w:pStyle w:val="Compact"/>
            </w:pPr>
            <w:r>
              <w:t xml:space="preserve">792</w:t>
            </w:r>
          </w:p>
        </w:tc>
        <w:tc>
          <w:tcPr/>
          <w:p>
            <w:pPr>
              <w:pStyle w:val="Compact"/>
            </w:pPr>
            <w:r>
              <w:t xml:space="preserve">946</w:t>
            </w:r>
          </w:p>
        </w:tc>
        <w:tc>
          <w:tcPr/>
          <w:p>
            <w:pPr>
              <w:pStyle w:val="Compact"/>
            </w:pPr>
            <w:r>
              <w:t xml:space="preserve">887</w:t>
            </w:r>
          </w:p>
        </w:tc>
        <w:tc>
          <w:tcPr/>
          <w:p>
            <w:pPr>
              <w:pStyle w:val="Compact"/>
            </w:pPr>
            <w:r>
              <w:t xml:space="preserve">1679</w:t>
            </w:r>
          </w:p>
        </w:tc>
        <w:tc>
          <w:tcPr/>
          <w:p>
            <w:pPr>
              <w:pStyle w:val="Compact"/>
            </w:pPr>
            <w:r>
              <w:t xml:space="preserve">1056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0.202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R1: FE-IV (Bartik instrument) with DV = ln(wage/worker) instead of ln(VA/worker).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R2: FE-IV (Bartik instrument) on HighAI=1 vs HighAI=0 subsamples (a/b); HighCapital=1 vs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HighCapital=0 subsamples (c/d) - extended moderator, country-specific median split (STEP 5b).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R3: SGMM alt lags (4:6): beta = -0.046 (SE 0.037), identical to the primary Diff.GMM spec in Table 8 col (4) since lags 4:6 were already required there for AR(2) validity; SE</w:t>
            </w:r>
            <w:r>
              <w:t xml:space="preserve"> </w:t>
            </w:r>
            <w:r>
              <w:t xml:space="preserve">not re-extracted via modelsummary for this row (pgmm object not compatible with the mixed model list) so the Table 8 col (4) SE is reported here instead.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R4: Placebo - ln_GTI led by +3 years (FE only); expect beta ~0.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R5: restricted to C+D_E+H+J (genuine ENV-TECH mapping); G/K/M_N (GTI=0 by construction) remain in the main sample but are excluded here.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2026-07-22T06:12:39Z</dcterms:created>
  <dcterms:modified xsi:type="dcterms:W3CDTF">2026-07-22T06:12:39Z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