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10. Robustness Checks</w:t>
      </w:r>
    </w:p>
    <w:tbl>
      <w:tblPr>
        <w:tblStyle w:val="Table"/>
        <w:tblW w:type="pct" w:w="4848"/>
        <w:tblLayout w:type="fixed"/>
        <w:tblLook w:firstRow="1" w:lastRow="1" w:firstColumn="0" w:lastColumn="0" w:noHBand="0" w:noVBand="0" w:val="0020"/>
        <w:tblCaption w:val="Table 10. Robustness Checks"/>
      </w:tblPr>
      <w:tblGrid>
        <w:gridCol w:w="2160"/>
        <w:gridCol w:w="840"/>
        <w:gridCol w:w="800"/>
        <w:gridCol w:w="880"/>
        <w:gridCol w:w="600"/>
        <w:gridCol w:w="680"/>
        <w:gridCol w:w="88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(R1a) High-capital</w:t>
            </w:r>
          </w:p>
        </w:tc>
        <w:tc>
          <w:tcPr/>
          <w:p>
            <w:pPr>
              <w:pStyle w:val="Compact"/>
            </w:pPr>
            <w:r>
              <w:t xml:space="preserve">(R1b) Low-capital</w:t>
            </w:r>
          </w:p>
        </w:tc>
        <w:tc>
          <w:tcPr/>
          <w:p>
            <w:pPr>
              <w:pStyle w:val="Compact"/>
            </w:pPr>
            <w:r>
              <w:t xml:space="preserve">(R2) Alt. weighting</w:t>
            </w:r>
          </w:p>
        </w:tc>
        <w:tc>
          <w:tcPr/>
          <w:p>
            <w:pPr>
              <w:pStyle w:val="Compact"/>
            </w:pPr>
            <w:r>
              <w:t xml:space="preserve">(R4) Placebo</w:t>
            </w:r>
          </w:p>
        </w:tc>
        <w:tc>
          <w:tcPr/>
          <w:p>
            <w:pPr>
              <w:pStyle w:val="Compact"/>
            </w:pPr>
            <w:r>
              <w:t xml:space="preserve">(R5) Full A*10</w:t>
            </w:r>
          </w:p>
        </w:tc>
        <w:tc>
          <w:tcPr/>
          <w:p>
            <w:pPr>
              <w:pStyle w:val="Compact"/>
            </w:pPr>
            <w:r>
              <w:t xml:space="preserve">(R2b-hi) High-skill</w:t>
            </w:r>
          </w:p>
        </w:tc>
        <w:tc>
          <w:tcPr/>
          <w:p>
            <w:pPr>
              <w:pStyle w:val="Compact"/>
            </w:pPr>
            <w:r>
              <w:t xml:space="preserve">(R2b-lo) Low-skill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-0.0133</w:t>
            </w:r>
          </w:p>
        </w:tc>
        <w:tc>
          <w:tcPr/>
          <w:p>
            <w:pPr>
              <w:pStyle w:val="Compact"/>
            </w:pPr>
            <w:r>
              <w:t xml:space="preserve">0.0365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  <w:r>
              <w:t xml:space="preserve">0.0538</w:t>
            </w:r>
          </w:p>
        </w:tc>
        <w:tc>
          <w:tcPr/>
          <w:p>
            <w:pPr>
              <w:pStyle w:val="Compact"/>
            </w:pPr>
            <w:r>
              <w:t xml:space="preserve">0.0112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(0.0341)</w:t>
            </w:r>
          </w:p>
        </w:tc>
        <w:tc>
          <w:tcPr/>
          <w:p>
            <w:pPr>
              <w:pStyle w:val="Compact"/>
            </w:pPr>
            <w:r>
              <w:t xml:space="preserve">(0.0336)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  <w:r>
              <w:t xml:space="preserve">(0.0652)</w:t>
            </w:r>
          </w:p>
        </w:tc>
        <w:tc>
          <w:tcPr/>
          <w:p>
            <w:pPr>
              <w:pStyle w:val="Compact"/>
            </w:pPr>
            <w:r>
              <w:t xml:space="preserve">(0.0291)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-0.1335</w:t>
            </w:r>
          </w:p>
        </w:tc>
        <w:tc>
          <w:tcPr/>
          <w:p>
            <w:pPr>
              <w:pStyle w:val="Compact"/>
            </w:pPr>
            <w:r>
              <w:t xml:space="preserve">-0.2447</w:t>
            </w:r>
          </w:p>
        </w:tc>
        <w:tc>
          <w:tcPr/>
          <w:p>
            <w:pPr>
              <w:pStyle w:val="Compact"/>
            </w:pPr>
            <w:r>
              <w:t xml:space="preserve">-0.2402*</w:t>
            </w:r>
          </w:p>
        </w:tc>
        <w:tc>
          <w:tcPr/>
          <w:p>
            <w:pPr>
              <w:pStyle w:val="Compact"/>
            </w:pPr>
            <w:r>
              <w:t xml:space="preserve">-0.2250*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0.0222</w:t>
            </w:r>
          </w:p>
        </w:tc>
        <w:tc>
          <w:tcPr/>
          <w:p>
            <w:pPr>
              <w:pStyle w:val="Compact"/>
            </w:pPr>
            <w:r>
              <w:t xml:space="preserve">-0.4418***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(0.1497)</w:t>
            </w:r>
          </w:p>
        </w:tc>
        <w:tc>
          <w:tcPr/>
          <w:p>
            <w:pPr>
              <w:pStyle w:val="Compact"/>
            </w:pPr>
            <w:r>
              <w:t xml:space="preserve">(0.1803)</w:t>
            </w:r>
          </w:p>
        </w:tc>
        <w:tc>
          <w:tcPr/>
          <w:p>
            <w:pPr>
              <w:pStyle w:val="Compact"/>
            </w:pPr>
            <w:r>
              <w:t xml:space="preserve">(0.1334)</w:t>
            </w:r>
          </w:p>
        </w:tc>
        <w:tc>
          <w:tcPr/>
          <w:p>
            <w:pPr>
              <w:pStyle w:val="Compact"/>
            </w:pPr>
            <w:r>
              <w:t xml:space="preserve">(0.1274)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(0.2143)</w:t>
            </w:r>
          </w:p>
        </w:tc>
        <w:tc>
          <w:tcPr/>
          <w:p>
            <w:pPr>
              <w:pStyle w:val="Compact"/>
            </w:pPr>
            <w:r>
              <w:t xml:space="preserve">(0.1443)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0.0028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(0.0044)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(0.0085)</w:t>
            </w:r>
          </w:p>
        </w:tc>
        <w:tc>
          <w:tcPr/>
          <w:p>
            <w:pPr>
              <w:pStyle w:val="Compact"/>
            </w:pPr>
            <w:r>
              <w:t xml:space="preserve">(0.0025)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0.6164***</w:t>
            </w:r>
          </w:p>
        </w:tc>
        <w:tc>
          <w:tcPr/>
          <w:p>
            <w:pPr>
              <w:pStyle w:val="Compact"/>
            </w:pPr>
            <w:r>
              <w:t xml:space="preserve">0.3978</w:t>
            </w:r>
          </w:p>
        </w:tc>
        <w:tc>
          <w:tcPr/>
          <w:p>
            <w:pPr>
              <w:pStyle w:val="Compact"/>
            </w:pPr>
            <w:r>
              <w:t xml:space="preserve">0.6585***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0.7256***</w:t>
            </w:r>
          </w:p>
        </w:tc>
        <w:tc>
          <w:tcPr/>
          <w:p>
            <w:pPr>
              <w:pStyle w:val="Compact"/>
            </w:pPr>
            <w:r>
              <w:t xml:space="preserve">0.4285**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(0.1449)</w:t>
            </w:r>
          </w:p>
        </w:tc>
        <w:tc>
          <w:tcPr/>
          <w:p>
            <w:pPr>
              <w:pStyle w:val="Compact"/>
            </w:pPr>
            <w:r>
              <w:t xml:space="preserve">(0.2520)</w:t>
            </w:r>
          </w:p>
        </w:tc>
        <w:tc>
          <w:tcPr/>
          <w:p>
            <w:pPr>
              <w:pStyle w:val="Compact"/>
            </w:pPr>
            <w:r>
              <w:t xml:space="preserve">(0.1406)</w:t>
            </w:r>
          </w:p>
        </w:tc>
        <w:tc>
          <w:tcPr/>
          <w:p>
            <w:pPr>
              <w:pStyle w:val="Compact"/>
            </w:pPr>
            <w:r>
              <w:t xml:space="preserve">(0.1420)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(0.1630)</w:t>
            </w:r>
          </w:p>
        </w:tc>
        <w:tc>
          <w:tcPr/>
          <w:p>
            <w:pPr>
              <w:pStyle w:val="Compact"/>
            </w:pPr>
            <w:r>
              <w:t xml:space="preserve">(0.1840)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0.0460</w:t>
            </w:r>
          </w:p>
        </w:tc>
        <w:tc>
          <w:tcPr/>
          <w:p>
            <w:pPr>
              <w:pStyle w:val="Compact"/>
            </w:pPr>
            <w:r>
              <w:t xml:space="preserve">0.0255</w:t>
            </w:r>
          </w:p>
        </w:tc>
        <w:tc>
          <w:tcPr/>
          <w:p>
            <w:pPr>
              <w:pStyle w:val="Compact"/>
            </w:pPr>
            <w:r>
              <w:t xml:space="preserve">0.0416*</w:t>
            </w:r>
          </w:p>
        </w:tc>
        <w:tc>
          <w:tcPr/>
          <w:p>
            <w:pPr>
              <w:pStyle w:val="Compact"/>
            </w:pPr>
            <w:r>
              <w:t xml:space="preserve">0.0308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0.0126</w:t>
            </w:r>
          </w:p>
        </w:tc>
        <w:tc>
          <w:tcPr/>
          <w:p>
            <w:pPr>
              <w:pStyle w:val="Compact"/>
            </w:pPr>
            <w:r>
              <w:t xml:space="preserve">0.0380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(0.0306)</w:t>
            </w: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(0.0203)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(0.0401)</w:t>
            </w:r>
          </w:p>
        </w:tc>
        <w:tc>
          <w:tcPr/>
          <w:p>
            <w:pPr>
              <w:pStyle w:val="Compact"/>
            </w:pPr>
            <w:r>
              <w:t xml:space="preserve">(0.0261)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-0.0004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  <w:tc>
          <w:tcPr/>
          <w:p>
            <w:pPr>
              <w:pStyle w:val="Compact"/>
            </w:pPr>
            <w:r>
              <w:t xml:space="preserve">0.0021</w:t>
            </w:r>
          </w:p>
        </w:tc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0.0038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(0.0045)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(0.0070)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IV, equal weights)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IV, placebo weights)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0.0563**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1549</w:t>
            </w:r>
          </w:p>
        </w:tc>
        <w:tc>
          <w:tcPr/>
          <w:p>
            <w:pPr>
              <w:pStyle w:val="Compact"/>
            </w:pPr>
            <w:r>
              <w:t xml:space="preserve">1553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1551</w:t>
            </w:r>
          </w:p>
        </w:tc>
        <w:tc>
          <w:tcPr/>
          <w:p>
            <w:pPr>
              <w:pStyle w:val="Compac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0.904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R1: FE-IV on high-capital (HighCapital=1) vs low-capital (HighCapital=0) subsamples; country-specific median threshold (STEP 4).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R2: Alternative industry weighting (equal 1/10 per industry instead of ALP crosswalk weights).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R3: SGMM alt lags (3:5): reported in text only (pgmm not compatible with modelsummary mix).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R4: Placebo - industry weights shuffled across A*10; expect beta ~0. Single-draw shown; full Monte Carlo (999 reps) reported in text (STEP 10).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R5: Full A*10 sample = main sample (all 10 industries retained).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R2b: Extended moderator robustness - high-skill (HighSkill=1) vs low-skill (HighSkill=0) subsamples; country-specific median threshold.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R7 (Table 14): threshold-definition sensitivity using industry-specific median instead of country-specific.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2026-07-14T10:34:18Z</dcterms:created>
  <dcterms:modified xsi:type="dcterms:W3CDTF">2026-07-14T10:34:18Z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