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10. Robustness Checks</w:t>
      </w:r>
    </w:p>
    <w:tbl>
      <w:tblPr>
        <w:tblStyle w:val="Table"/>
        <w:tblW w:type="pct" w:w="4848"/>
        <w:tblLayout w:type="fixed"/>
        <w:tblLook w:firstRow="1" w:lastRow="1" w:firstColumn="0" w:lastColumn="0" w:noHBand="0" w:noVBand="0" w:val="0020"/>
        <w:tblCaption w:val="Table 10. Robustness Checks"/>
      </w:tblPr>
      <w:tblGrid>
        <w:gridCol w:w="2160"/>
        <w:gridCol w:w="840"/>
        <w:gridCol w:w="800"/>
        <w:gridCol w:w="880"/>
        <w:gridCol w:w="600"/>
        <w:gridCol w:w="680"/>
        <w:gridCol w:w="880"/>
        <w:gridCol w:w="8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(R1a) High-capital</w:t>
            </w:r>
          </w:p>
        </w:tc>
        <w:tc>
          <w:tcPr/>
          <w:p>
            <w:pPr>
              <w:pStyle w:val="Compact"/>
            </w:pPr>
            <w:r>
              <w:t xml:space="preserve">(R1b) Low-capital</w:t>
            </w:r>
          </w:p>
        </w:tc>
        <w:tc>
          <w:tcPr/>
          <w:p>
            <w:pPr>
              <w:pStyle w:val="Compact"/>
            </w:pPr>
            <w:r>
              <w:t xml:space="preserve">(R2) Alt. weighting</w:t>
            </w:r>
          </w:p>
        </w:tc>
        <w:tc>
          <w:tcPr/>
          <w:p>
            <w:pPr>
              <w:pStyle w:val="Compact"/>
            </w:pPr>
            <w:r>
              <w:t xml:space="preserve">(R4) Placebo</w:t>
            </w:r>
          </w:p>
        </w:tc>
        <w:tc>
          <w:tcPr/>
          <w:p>
            <w:pPr>
              <w:pStyle w:val="Compact"/>
            </w:pPr>
            <w:r>
              <w:t xml:space="preserve">(R5) Full A*10</w:t>
            </w:r>
          </w:p>
        </w:tc>
        <w:tc>
          <w:tcPr/>
          <w:p>
            <w:pPr>
              <w:pStyle w:val="Compact"/>
            </w:pPr>
            <w:r>
              <w:t xml:space="preserve">(R2b-hi) High-skill</w:t>
            </w:r>
          </w:p>
        </w:tc>
        <w:tc>
          <w:tcPr/>
          <w:p>
            <w:pPr>
              <w:pStyle w:val="Compact"/>
            </w:pPr>
            <w:r>
              <w:t xml:space="preserve">(R2b-lo) Low-skill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  <w:r>
              <w:t xml:space="preserve">-0.0133</w:t>
            </w:r>
          </w:p>
        </w:tc>
        <w:tc>
          <w:tcPr/>
          <w:p>
            <w:pPr>
              <w:pStyle w:val="Compact"/>
            </w:pPr>
            <w:r>
              <w:t xml:space="preserve">0.0365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0.0114</w:t>
            </w:r>
          </w:p>
        </w:tc>
        <w:tc>
          <w:tcPr/>
          <w:p>
            <w:pPr>
              <w:pStyle w:val="Compact"/>
            </w:pPr>
            <w:r>
              <w:t xml:space="preserve">0.0538</w:t>
            </w:r>
          </w:p>
        </w:tc>
        <w:tc>
          <w:tcPr/>
          <w:p>
            <w:pPr>
              <w:pStyle w:val="Compact"/>
            </w:pPr>
            <w:r>
              <w:t xml:space="preserve">0.0112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(0.0341)</w:t>
            </w:r>
          </w:p>
        </w:tc>
        <w:tc>
          <w:tcPr/>
          <w:p>
            <w:pPr>
              <w:pStyle w:val="Compact"/>
            </w:pPr>
            <w:r>
              <w:t xml:space="preserve">(0.0336)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(0.0255)</w:t>
            </w:r>
          </w:p>
        </w:tc>
        <w:tc>
          <w:tcPr/>
          <w:p>
            <w:pPr>
              <w:pStyle w:val="Compact"/>
            </w:pPr>
            <w:r>
              <w:t xml:space="preserve">(0.0652)</w:t>
            </w:r>
          </w:p>
        </w:tc>
        <w:tc>
          <w:tcPr/>
          <w:p>
            <w:pPr>
              <w:pStyle w:val="Compact"/>
            </w:pPr>
            <w:r>
              <w:t xml:space="preserve">(0.0291)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-0.1335</w:t>
            </w:r>
          </w:p>
        </w:tc>
        <w:tc>
          <w:tcPr/>
          <w:p>
            <w:pPr>
              <w:pStyle w:val="Compact"/>
            </w:pPr>
            <w:r>
              <w:t xml:space="preserve">-0.2447</w:t>
            </w:r>
          </w:p>
        </w:tc>
        <w:tc>
          <w:tcPr/>
          <w:p>
            <w:pPr>
              <w:pStyle w:val="Compact"/>
            </w:pPr>
            <w:r>
              <w:t xml:space="preserve">-0.2402*</w:t>
            </w:r>
          </w:p>
        </w:tc>
        <w:tc>
          <w:tcPr/>
          <w:p>
            <w:pPr>
              <w:pStyle w:val="Compact"/>
            </w:pPr>
            <w:r>
              <w:t xml:space="preserve">-0.2250*</w:t>
            </w:r>
          </w:p>
        </w:tc>
        <w:tc>
          <w:tcPr/>
          <w:p>
            <w:pPr>
              <w:pStyle w:val="Compact"/>
            </w:pPr>
            <w:r>
              <w:t xml:space="preserve">-0.2376*</w:t>
            </w:r>
          </w:p>
        </w:tc>
        <w:tc>
          <w:tcPr/>
          <w:p>
            <w:pPr>
              <w:pStyle w:val="Compact"/>
            </w:pPr>
            <w:r>
              <w:t xml:space="preserve">0.0222</w:t>
            </w:r>
          </w:p>
        </w:tc>
        <w:tc>
          <w:tcPr/>
          <w:p>
            <w:pPr>
              <w:pStyle w:val="Compact"/>
            </w:pPr>
            <w:r>
              <w:t xml:space="preserve">-0.4418***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(0.1497)</w:t>
            </w:r>
          </w:p>
        </w:tc>
        <w:tc>
          <w:tcPr/>
          <w:p>
            <w:pPr>
              <w:pStyle w:val="Compact"/>
            </w:pPr>
            <w:r>
              <w:t xml:space="preserve">(0.1803)</w:t>
            </w:r>
          </w:p>
        </w:tc>
        <w:tc>
          <w:tcPr/>
          <w:p>
            <w:pPr>
              <w:pStyle w:val="Compact"/>
            </w:pPr>
            <w:r>
              <w:t xml:space="preserve">(0.1334)</w:t>
            </w:r>
          </w:p>
        </w:tc>
        <w:tc>
          <w:tcPr/>
          <w:p>
            <w:pPr>
              <w:pStyle w:val="Compact"/>
            </w:pPr>
            <w:r>
              <w:t xml:space="preserve">(0.1274)</w:t>
            </w:r>
          </w:p>
        </w:tc>
        <w:tc>
          <w:tcPr/>
          <w:p>
            <w:pPr>
              <w:pStyle w:val="Compact"/>
            </w:pPr>
            <w:r>
              <w:t xml:space="preserve">(0.1353)</w:t>
            </w:r>
          </w:p>
        </w:tc>
        <w:tc>
          <w:tcPr/>
          <w:p>
            <w:pPr>
              <w:pStyle w:val="Compact"/>
            </w:pPr>
            <w:r>
              <w:t xml:space="preserve">(0.2143)</w:t>
            </w:r>
          </w:p>
        </w:tc>
        <w:tc>
          <w:tcPr/>
          <w:p>
            <w:pPr>
              <w:pStyle w:val="Compact"/>
            </w:pPr>
            <w:r>
              <w:t xml:space="preserve">(0.1443)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  <w:r>
              <w:t xml:space="preserve">0.0028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  <w:r>
              <w:t xml:space="preserve">0.0045</w:t>
            </w:r>
          </w:p>
        </w:tc>
        <w:tc>
          <w:tcPr/>
          <w:p>
            <w:pPr>
              <w:pStyle w:val="Compact"/>
            </w:pPr>
            <w:r>
              <w:t xml:space="preserve">0.0014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(0.0038)</w:t>
            </w:r>
          </w:p>
        </w:tc>
        <w:tc>
          <w:tcPr/>
          <w:p>
            <w:pPr>
              <w:pStyle w:val="Compact"/>
            </w:pPr>
            <w:r>
              <w:t xml:space="preserve">(0.0044)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(0.0085)</w:t>
            </w:r>
          </w:p>
        </w:tc>
        <w:tc>
          <w:tcPr/>
          <w:p>
            <w:pPr>
              <w:pStyle w:val="Compact"/>
            </w:pPr>
            <w:r>
              <w:t xml:space="preserve">(0.0025)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0.6164***</w:t>
            </w:r>
          </w:p>
        </w:tc>
        <w:tc>
          <w:tcPr/>
          <w:p>
            <w:pPr>
              <w:pStyle w:val="Compact"/>
            </w:pPr>
            <w:r>
              <w:t xml:space="preserve">0.3978</w:t>
            </w:r>
          </w:p>
        </w:tc>
        <w:tc>
          <w:tcPr/>
          <w:p>
            <w:pPr>
              <w:pStyle w:val="Compact"/>
            </w:pPr>
            <w:r>
              <w:t xml:space="preserve">0.6585***</w:t>
            </w:r>
          </w:p>
        </w:tc>
        <w:tc>
          <w:tcPr/>
          <w:p>
            <w:pPr>
              <w:pStyle w:val="Compact"/>
            </w:pPr>
            <w:r>
              <w:t xml:space="preserve">0.6631***</w:t>
            </w:r>
          </w:p>
        </w:tc>
        <w:tc>
          <w:tcPr/>
          <w:p>
            <w:pPr>
              <w:pStyle w:val="Compact"/>
            </w:pPr>
            <w:r>
              <w:t xml:space="preserve">0.6555***</w:t>
            </w:r>
          </w:p>
        </w:tc>
        <w:tc>
          <w:tcPr/>
          <w:p>
            <w:pPr>
              <w:pStyle w:val="Compact"/>
            </w:pPr>
            <w:r>
              <w:t xml:space="preserve">0.7256***</w:t>
            </w:r>
          </w:p>
        </w:tc>
        <w:tc>
          <w:tcPr/>
          <w:p>
            <w:pPr>
              <w:pStyle w:val="Compact"/>
            </w:pPr>
            <w:r>
              <w:t xml:space="preserve">0.4285**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(0.1449)</w:t>
            </w:r>
          </w:p>
        </w:tc>
        <w:tc>
          <w:tcPr/>
          <w:p>
            <w:pPr>
              <w:pStyle w:val="Compact"/>
            </w:pPr>
            <w:r>
              <w:t xml:space="preserve">(0.2520)</w:t>
            </w:r>
          </w:p>
        </w:tc>
        <w:tc>
          <w:tcPr/>
          <w:p>
            <w:pPr>
              <w:pStyle w:val="Compact"/>
            </w:pPr>
            <w:r>
              <w:t xml:space="preserve">(0.1406)</w:t>
            </w:r>
          </w:p>
        </w:tc>
        <w:tc>
          <w:tcPr/>
          <w:p>
            <w:pPr>
              <w:pStyle w:val="Compact"/>
            </w:pPr>
            <w:r>
              <w:t xml:space="preserve">(0.1420)</w:t>
            </w:r>
          </w:p>
        </w:tc>
        <w:tc>
          <w:tcPr/>
          <w:p>
            <w:pPr>
              <w:pStyle w:val="Compact"/>
            </w:pPr>
            <w:r>
              <w:t xml:space="preserve">(0.1395)</w:t>
            </w:r>
          </w:p>
        </w:tc>
        <w:tc>
          <w:tcPr/>
          <w:p>
            <w:pPr>
              <w:pStyle w:val="Compact"/>
            </w:pPr>
            <w:r>
              <w:t xml:space="preserve">(0.1630)</w:t>
            </w:r>
          </w:p>
        </w:tc>
        <w:tc>
          <w:tcPr/>
          <w:p>
            <w:pPr>
              <w:pStyle w:val="Compact"/>
            </w:pPr>
            <w:r>
              <w:t xml:space="preserve">(0.1840)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0.0460</w:t>
            </w:r>
          </w:p>
        </w:tc>
        <w:tc>
          <w:tcPr/>
          <w:p>
            <w:pPr>
              <w:pStyle w:val="Compact"/>
            </w:pPr>
            <w:r>
              <w:t xml:space="preserve">0.0255</w:t>
            </w:r>
          </w:p>
        </w:tc>
        <w:tc>
          <w:tcPr/>
          <w:p>
            <w:pPr>
              <w:pStyle w:val="Compact"/>
            </w:pPr>
            <w:r>
              <w:t xml:space="preserve">0.0416*</w:t>
            </w:r>
          </w:p>
        </w:tc>
        <w:tc>
          <w:tcPr/>
          <w:p>
            <w:pPr>
              <w:pStyle w:val="Compact"/>
            </w:pPr>
            <w:r>
              <w:t xml:space="preserve">0.0308</w:t>
            </w:r>
          </w:p>
        </w:tc>
        <w:tc>
          <w:tcPr/>
          <w:p>
            <w:pPr>
              <w:pStyle w:val="Compact"/>
            </w:pPr>
            <w:r>
              <w:t xml:space="preserve">0.0397*</w:t>
            </w:r>
          </w:p>
        </w:tc>
        <w:tc>
          <w:tcPr/>
          <w:p>
            <w:pPr>
              <w:pStyle w:val="Compact"/>
            </w:pPr>
            <w:r>
              <w:t xml:space="preserve">0.0126</w:t>
            </w:r>
          </w:p>
        </w:tc>
        <w:tc>
          <w:tcPr/>
          <w:p>
            <w:pPr>
              <w:pStyle w:val="Compact"/>
            </w:pPr>
            <w:r>
              <w:t xml:space="preserve">0.0380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(0.0306)</w:t>
            </w:r>
          </w:p>
        </w:tc>
        <w:tc>
          <w:tcPr/>
          <w:p>
            <w:pPr>
              <w:pStyle w:val="Compact"/>
            </w:pPr>
            <w:r>
              <w:t xml:space="preserve">(0.0275)</w:t>
            </w:r>
          </w:p>
        </w:tc>
        <w:tc>
          <w:tcPr/>
          <w:p>
            <w:pPr>
              <w:pStyle w:val="Compact"/>
            </w:pPr>
            <w:r>
              <w:t xml:space="preserve">(0.0220)</w:t>
            </w:r>
          </w:p>
        </w:tc>
        <w:tc>
          <w:tcPr/>
          <w:p>
            <w:pPr>
              <w:pStyle w:val="Compact"/>
            </w:pPr>
            <w:r>
              <w:t xml:space="preserve">(0.0203)</w:t>
            </w:r>
          </w:p>
        </w:tc>
        <w:tc>
          <w:tcPr/>
          <w:p>
            <w:pPr>
              <w:pStyle w:val="Compact"/>
            </w:pPr>
            <w:r>
              <w:t xml:space="preserve">(0.0229)</w:t>
            </w:r>
          </w:p>
        </w:tc>
        <w:tc>
          <w:tcPr/>
          <w:p>
            <w:pPr>
              <w:pStyle w:val="Compact"/>
            </w:pPr>
            <w:r>
              <w:t xml:space="preserve">(0.0401)</w:t>
            </w:r>
          </w:p>
        </w:tc>
        <w:tc>
          <w:tcPr/>
          <w:p>
            <w:pPr>
              <w:pStyle w:val="Compact"/>
            </w:pPr>
            <w:r>
              <w:t xml:space="preserve">(0.0261)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-0.0004</w:t>
            </w:r>
          </w:p>
        </w:tc>
        <w:tc>
          <w:tcPr/>
          <w:p>
            <w:pPr>
              <w:pStyle w:val="Compact"/>
            </w:pPr>
            <w:r>
              <w:t xml:space="preserve">-0.0015</w:t>
            </w:r>
          </w:p>
        </w:tc>
        <w:tc>
          <w:tcPr/>
          <w:p>
            <w:pPr>
              <w:pStyle w:val="Compact"/>
            </w:pPr>
            <w:r>
              <w:t xml:space="preserve">-0.0011</w:t>
            </w:r>
          </w:p>
        </w:tc>
        <w:tc>
          <w:tcPr/>
          <w:p>
            <w:pPr>
              <w:pStyle w:val="Compact"/>
            </w:pPr>
            <w:r>
              <w:t xml:space="preserve">-0.0009</w:t>
            </w:r>
          </w:p>
        </w:tc>
        <w:tc>
          <w:tcPr/>
          <w:p>
            <w:pPr>
              <w:pStyle w:val="Compact"/>
            </w:pPr>
            <w:r>
              <w:t xml:space="preserve">-0.0011</w:t>
            </w:r>
          </w:p>
        </w:tc>
        <w:tc>
          <w:tcPr/>
          <w:p>
            <w:pPr>
              <w:pStyle w:val="Compact"/>
            </w:pPr>
            <w:r>
              <w:t xml:space="preserve">-0.0008</w:t>
            </w:r>
          </w:p>
        </w:tc>
        <w:tc>
          <w:tcPr/>
          <w:p>
            <w:pPr>
              <w:pStyle w:val="Compact"/>
            </w:pPr>
            <w:r>
              <w:t xml:space="preserve">-0.0009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(0.0008)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  <w:tc>
          <w:tcPr/>
          <w:p>
            <w:pPr>
              <w:pStyle w:val="Compact"/>
            </w:pPr>
            <w:r>
              <w:t xml:space="preserve">(0.0010)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  <w:tc>
          <w:tcPr/>
          <w:p>
            <w:pPr>
              <w:pStyle w:val="Compact"/>
            </w:pPr>
            <w:r>
              <w:t xml:space="preserve">0.0021</w:t>
            </w:r>
          </w:p>
        </w:tc>
        <w:tc>
          <w:tcPr/>
          <w:p>
            <w:pPr>
              <w:pStyle w:val="Compact"/>
            </w:pPr>
            <w:r>
              <w:t xml:space="preserve">0.0040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  <w:tc>
          <w:tcPr/>
          <w:p>
            <w:pPr>
              <w:pStyle w:val="Compact"/>
            </w:pPr>
            <w:r>
              <w:t xml:space="preserve">0.0038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(0.0045)</w:t>
            </w:r>
          </w:p>
        </w:tc>
        <w:tc>
          <w:tcPr/>
          <w:p>
            <w:pPr>
              <w:pStyle w:val="Compact"/>
            </w:pPr>
            <w:r>
              <w:t xml:space="preserve">(0.0036)</w:t>
            </w:r>
          </w:p>
        </w:tc>
        <w:tc>
          <w:tcPr/>
          <w:p>
            <w:pPr>
              <w:pStyle w:val="Compact"/>
            </w:pPr>
            <w:r>
              <w:t xml:space="preserve">(0.0033)</w:t>
            </w: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  <w:tc>
          <w:tcPr/>
          <w:p>
            <w:pPr>
              <w:pStyle w:val="Compact"/>
            </w:pPr>
            <w:r>
              <w:t xml:space="preserve">(0.0070)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IV, equal weights)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(0.0276)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IV, placebo weights)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0.0563**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1549</w:t>
            </w:r>
          </w:p>
        </w:tc>
        <w:tc>
          <w:tcPr/>
          <w:p>
            <w:pPr>
              <w:pStyle w:val="Compact"/>
            </w:pPr>
            <w:r>
              <w:t xml:space="preserve">1553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1551</w:t>
            </w:r>
          </w:p>
        </w:tc>
        <w:tc>
          <w:tcPr/>
          <w:p>
            <w:pPr>
              <w:pStyle w:val="Compact"/>
            </w:pPr>
            <w:r>
              <w:t xml:space="preserve">1553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0.904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0.918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0.892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0.158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0.191</w:t>
            </w:r>
          </w:p>
        </w:tc>
        <w:tc>
          <w:tcPr/>
          <w:p>
            <w:pPr>
              <w:pStyle w:val="Compact"/>
            </w:pPr>
            <w:r>
              <w:t xml:space="preserve">0.136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R1: FE-IV on high-capital (HighCapital=1) vs low-capital (HighCapital=0) subsamples; country-specific median threshold (STEP 4).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R2: Alternative industry weighting (equal 1/10 per industry instead of ALP crosswalk weights).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R3: SGMM alt lags (3:5): reported in text only (pgmm not compatible with modelsummary mix).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R4: Placebo - industry weights shuffled across A*10; expect beta ~0. Single-draw shown; full Monte Carlo (999 reps) reported in text (STEP 10).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R5: Full A*10 sample = main sample (all 10 industries retained).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R2b: Extended moderator robustness - high-skill (HighSkill=1) vs low-skill (HighSkill=0) subsamples; country-specific median threshold.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R7 (Table 14): threshold-definition sensitivity using industry-specific median instead of country-specific.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2026-07-22T06:29:42Z</dcterms:created>
  <dcterms:modified xsi:type="dcterms:W3CDTF">2026-07-22T06:29:42Z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