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11. First-Stage Regression: Instrument Validity</w:t>
      </w:r>
    </w:p>
    <w:tbl>
      <w:tblPr>
        <w:tblStyle w:val="Table"/>
        <w:tblW w:type="pct" w:w="4861"/>
        <w:tblLayout w:type="fixed"/>
        <w:tblLook w:firstRow="1" w:lastRow="1" w:firstColumn="0" w:lastColumn="0" w:noHBand="0" w:noVBand="0" w:val="0020"/>
        <w:tblCaption w:val="Table 11. First-Stage Regression: Instrument Validity"/>
      </w:tblPr>
      <w:tblGrid>
        <w:gridCol w:w="3960"/>
        <w:gridCol w:w="37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First Stage: AIPI ~ AIPI_bartik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AIPI_bartik [instrument]</w:t>
            </w:r>
          </w:p>
        </w:tc>
        <w:tc>
          <w:tcPr/>
          <w:p>
            <w:pPr>
              <w:pStyle w:val="Compact"/>
            </w:pPr>
            <w:r>
              <w:t xml:space="preserve">0.7316***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(ln)</w:t>
            </w:r>
          </w:p>
        </w:tc>
        <w:tc>
          <w:tcPr/>
          <w:p>
            <w:pPr>
              <w:pStyle w:val="Compact"/>
            </w:pPr>
            <w:r>
              <w:t xml:space="preserve">-0.2645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(0.1925)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(%)</w:t>
            </w:r>
          </w:p>
        </w:tc>
        <w:tc>
          <w:tcPr/>
          <w:p>
            <w:pPr>
              <w:pStyle w:val="Compact"/>
            </w:pPr>
            <w:r>
              <w:t xml:space="preserve">-0.0043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</w:t>
            </w:r>
          </w:p>
        </w:tc>
        <w:tc>
          <w:tcPr/>
          <w:p>
            <w:pPr>
              <w:pStyle w:val="Compact"/>
            </w:pPr>
            <w:r>
              <w:t xml:space="preserve">0.2144**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(0.0968)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(% GDP)</w:t>
            </w:r>
          </w:p>
        </w:tc>
        <w:tc>
          <w:tcPr/>
          <w:p>
            <w:pPr>
              <w:pStyle w:val="Compact"/>
            </w:pPr>
            <w:r>
              <w:t xml:space="preserve">0.2055***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(0.0444)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(%)</w:t>
            </w:r>
          </w:p>
        </w:tc>
        <w:tc>
          <w:tcPr/>
          <w:p>
            <w:pPr>
              <w:pStyle w:val="Compact"/>
            </w:pPr>
            <w:r>
              <w:t xml:space="preserve">-0.0037**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Broadband subscriptions (per 100)</w:t>
            </w:r>
          </w:p>
        </w:tc>
        <w:tc>
          <w:tcPr/>
          <w:p>
            <w:pPr>
              <w:pStyle w:val="Compact"/>
            </w:pPr>
            <w:r>
              <w:t xml:space="preserve">-0.0359***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(0.0078)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0.397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0.396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2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Dependent variable: AIPI = ln(industry-weighted AI patent count +</w:t>
            </w:r>
            <w:r>
              <w:t xml:space="preserve"> </w:t>
            </w:r>
            <w:r>
              <w:t xml:space="preserve">1).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Instrument: AIPI_bartik = ln(leave-one-out industry-weighted AI</w:t>
            </w:r>
            <w:r>
              <w:t xml:space="preserve"> </w:t>
            </w:r>
            <w:r>
              <w:t xml:space="preserve">patent count + 1),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computed from the other 24 OECD countries in the same year (Bartik</w:t>
            </w:r>
            <w:r>
              <w:t xml:space="preserve"> </w:t>
            </w:r>
            <w:r>
              <w:t xml:space="preserve">shift-share).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Two-way FE (pair_id + year). SE clustered at pair level.</w:t>
            </w:r>
          </w:p>
        </w:tc>
      </w:tr>
      <w:tr>
        <w:tc>
          <w:tcPr>
            <w:gridSpan w:val="2"/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2026-07-14T10:34:18Z</dcterms:created>
  <dcterms:modified xsi:type="dcterms:W3CDTF">2026-07-14T10:34:18Z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