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11. First-Stage Regression: Instrument Validity</w:t>
      </w:r>
    </w:p>
    <w:tbl>
      <w:tblPr>
        <w:tblStyle w:val="Table"/>
        <w:tblW w:type="pct" w:w="4861"/>
        <w:tblLayout w:type="fixed"/>
        <w:tblLook w:firstRow="1" w:lastRow="1" w:firstColumn="0" w:lastColumn="0" w:noHBand="0" w:noVBand="0" w:val="0020"/>
        <w:tblCaption w:val="Table 11. First-Stage Regression: Instrument Validity"/>
      </w:tblPr>
      <w:tblGrid>
        <w:gridCol w:w="396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 Stage: AIPI ~ AIPI_bartik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AIPI_bartik [instrument]</w:t>
            </w:r>
          </w:p>
        </w:tc>
        <w:tc>
          <w:tcPr/>
          <w:p>
            <w:pPr>
              <w:pStyle w:val="Compact"/>
            </w:pPr>
            <w:r>
              <w:t xml:space="preserve">0.7316***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-0.2645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</w:t>
            </w:r>
          </w:p>
        </w:tc>
        <w:tc>
          <w:tcPr/>
          <w:p>
            <w:pPr>
              <w:pStyle w:val="Compact"/>
            </w:pPr>
            <w:r>
              <w:t xml:space="preserve">0.2144**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0.2055***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(%)</w:t>
            </w:r>
          </w:p>
        </w:tc>
        <w:tc>
          <w:tcPr/>
          <w:p>
            <w:pPr>
              <w:pStyle w:val="Compact"/>
            </w:pPr>
            <w:r>
              <w:t xml:space="preserve">-0.0037**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 subscriptions (per 100)</w:t>
            </w:r>
          </w:p>
        </w:tc>
        <w:tc>
          <w:tcPr/>
          <w:p>
            <w:pPr>
              <w:pStyle w:val="Compact"/>
            </w:pPr>
            <w:r>
              <w:t xml:space="preserve">-0.0359***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Dependent variable: AIPI = ln(industry-weighted AI patent count +</w:t>
            </w:r>
            <w:r>
              <w:t xml:space="preserve"> </w:t>
            </w:r>
            <w:r>
              <w:t xml:space="preserve">1).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Instrument: AIPI_bartik = ln(leave-one-out industry-weighted AI</w:t>
            </w:r>
            <w:r>
              <w:t xml:space="preserve"> </w:t>
            </w:r>
            <w:r>
              <w:t xml:space="preserve">patent count + 1),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computed from the other 24 OECD countries in the same year (Bartik</w:t>
            </w:r>
            <w:r>
              <w:t xml:space="preserve"> </w:t>
            </w:r>
            <w:r>
              <w:t xml:space="preserve">shift-share).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Two-way FE (pair_id + year). SE clustered at pair level.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2026-07-22T06:29:42Z</dcterms:created>
  <dcterms:modified xsi:type="dcterms:W3CDTF">2026-07-22T06:29:42Z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