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12. Mechanism Check: Employment (FE-IV)</w:t>
      </w:r>
    </w:p>
    <w:tbl>
      <w:tblPr>
        <w:tblStyle w:val="Table"/>
        <w:tblW w:type="pct" w:w="4097"/>
        <w:tblLayout w:type="fixed"/>
        <w:tblLook w:firstRow="1" w:lastRow="1" w:firstColumn="0" w:lastColumn="0" w:noHBand="0" w:noVBand="0" w:val="0020"/>
        <w:tblCaption w:val="Table 12. Mechanism Check: Employment (FE-IV)"/>
      </w:tblPr>
      <w:tblGrid>
        <w:gridCol w:w="341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Mechanism: ln(Employment)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  <w:r>
              <w:t xml:space="preserve">0.0899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Outcome: ln(Total employment, EMPN), OECD STAN A*10.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Descriptive mechanism complement to the main ln(labor</w:t>
            </w:r>
            <w:r>
              <w:t xml:space="preserve"> </w:t>
            </w:r>
            <w:r>
              <w:t xml:space="preserve">share) result; not a formal mediation model.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SE clustered at pair level.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2026-07-14T10:33:12Z</dcterms:created>
  <dcterms:modified xsi:type="dcterms:W3CDTF">2026-07-14T10:33:12Z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