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13. Robustness: Gollin Self-Employment Adjustment</w:t>
      </w:r>
    </w:p>
    <w:tbl>
      <w:tblPr>
        <w:tblStyle w:val="Table"/>
        <w:tblW w:type="pct" w:w="4895"/>
        <w:tblLayout w:type="fixed"/>
        <w:tblLook w:firstRow="1" w:lastRow="1" w:firstColumn="0" w:lastColumn="0" w:noHBand="0" w:noVBand="0" w:val="0020"/>
        <w:tblCaption w:val="Table 13. Robustness: Gollin Self-Employment Adjustment"/>
      </w:tblPr>
      <w:tblGrid>
        <w:gridCol w:w="2990"/>
        <w:gridCol w:w="886"/>
        <w:gridCol w:w="1329"/>
        <w:gridCol w:w="1052"/>
        <w:gridCol w:w="149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FE, naive</w:t>
            </w:r>
          </w:p>
        </w:tc>
        <w:tc>
          <w:tcPr/>
          <w:p>
            <w:pPr>
              <w:pStyle w:val="Compact"/>
            </w:pPr>
            <w:r>
              <w:t xml:space="preserve">(1adj) FE, Gollin-adj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FE-IV, naive</w:t>
            </w:r>
          </w:p>
        </w:tc>
        <w:tc>
          <w:tcPr/>
          <w:p>
            <w:pPr>
              <w:pStyle w:val="Compact"/>
            </w:pPr>
            <w:r>
              <w:t xml:space="preserve">(3adj) FE-IV, Gollin-adj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-0.0163</w:t>
            </w:r>
          </w:p>
        </w:tc>
        <w:tc>
          <w:tcPr/>
          <w:p>
            <w:pPr>
              <w:pStyle w:val="Compact"/>
            </w:pPr>
            <w:r>
              <w:t xml:space="preserve">-0.0154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(0.0160)</w:t>
            </w:r>
          </w:p>
        </w:tc>
        <w:tc>
          <w:tcPr/>
          <w:p>
            <w:pPr>
              <w:pStyle w:val="Compact"/>
            </w:pPr>
            <w:r>
              <w:t xml:space="preserve">(0.0159)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  <w:r>
              <w:t xml:space="preserve">0.0111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  <w:r>
              <w:t xml:space="preserve">(0.0250)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-0.2455*</w:t>
            </w:r>
          </w:p>
        </w:tc>
        <w:tc>
          <w:tcPr/>
          <w:p>
            <w:pPr>
              <w:pStyle w:val="Compact"/>
            </w:pPr>
            <w:r>
              <w:t xml:space="preserve">-0.2765**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-0.2689**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(0.1333)</w:t>
            </w:r>
          </w:p>
        </w:tc>
        <w:tc>
          <w:tcPr/>
          <w:p>
            <w:pPr>
              <w:pStyle w:val="Compact"/>
            </w:pPr>
            <w:r>
              <w:t xml:space="preserve">(0.1327)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(0.1347)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0.6669***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0.6595***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(0.1392)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(0.1399)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0.0450**</w:t>
            </w:r>
          </w:p>
        </w:tc>
        <w:tc>
          <w:tcPr/>
          <w:p>
            <w:pPr>
              <w:pStyle w:val="Compact"/>
            </w:pPr>
            <w:r>
              <w:t xml:space="preserve">0.0405*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0.0354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(0.0216)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(0.0224)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Naive labshare = LABR/VALU (Compensation of employees / Value added); excludes self-employment income.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Gollin-adjusted labshare_adj = labshare / (1 - self_emp_share); self_emp_share = WDI SL.EMP.SELF.ZS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(country-year, modeled ILO estimate), applied uniformly across industries within a country-year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(STAN A*10 does not separate paid employees from total employment by industry).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Adjustment method: Gollin’s</w:t>
            </w:r>
            <w:r>
              <w:t xml:space="preserve"> </w:t>
            </w:r>
            <w:r>
              <w:t xml:space="preserve">‘average wage’</w:t>
            </w:r>
            <w:r>
              <w:t xml:space="preserve"> </w:t>
            </w:r>
            <w:r>
              <w:t xml:space="preserve">assumption (self-employed earn the same as employees).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Reported as a robustness check alongside the naive main specification (Table 9), not a replacement.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country-industry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2026-07-14T10:34:18Z</dcterms:created>
  <dcterms:modified xsi:type="dcterms:W3CDTF">2026-07-14T10:34:18Z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