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13. Robustness: Gollin Self-Employment Adjustment</w:t>
      </w:r>
    </w:p>
    <w:tbl>
      <w:tblPr>
        <w:tblStyle w:val="Table"/>
        <w:tblW w:type="pct" w:w="4895"/>
        <w:tblLayout w:type="fixed"/>
        <w:tblLook w:firstRow="1" w:lastRow="1" w:firstColumn="0" w:lastColumn="0" w:noHBand="0" w:noVBand="0" w:val="0020"/>
        <w:tblCaption w:val="Table 13. Robustness: Gollin Self-Employment Adjustment"/>
      </w:tblPr>
      <w:tblGrid>
        <w:gridCol w:w="2990"/>
        <w:gridCol w:w="886"/>
        <w:gridCol w:w="1329"/>
        <w:gridCol w:w="1052"/>
        <w:gridCol w:w="149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FE, naive</w:t>
            </w:r>
          </w:p>
        </w:tc>
        <w:tc>
          <w:tcPr/>
          <w:p>
            <w:pPr>
              <w:pStyle w:val="Compact"/>
            </w:pPr>
            <w:r>
              <w:t xml:space="preserve">(1adj) FE, Gollin-adj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FE-IV, naive</w:t>
            </w:r>
          </w:p>
        </w:tc>
        <w:tc>
          <w:tcPr/>
          <w:p>
            <w:pPr>
              <w:pStyle w:val="Compact"/>
            </w:pPr>
            <w:r>
              <w:t xml:space="preserve">(3adj) FE-IV, Gollin-adj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  <w:r>
              <w:t xml:space="preserve">-0.0163</w:t>
            </w:r>
          </w:p>
        </w:tc>
        <w:tc>
          <w:tcPr/>
          <w:p>
            <w:pPr>
              <w:pStyle w:val="Compact"/>
            </w:pPr>
            <w:r>
              <w:t xml:space="preserve">-0.0154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(0.0160)</w:t>
            </w:r>
          </w:p>
        </w:tc>
        <w:tc>
          <w:tcPr/>
          <w:p>
            <w:pPr>
              <w:pStyle w:val="Compact"/>
            </w:pPr>
            <w:r>
              <w:t xml:space="preserve">(0.0159)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  <w:r>
              <w:t xml:space="preserve">0.0111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(0.0255)</w:t>
            </w:r>
          </w:p>
        </w:tc>
        <w:tc>
          <w:tcPr/>
          <w:p>
            <w:pPr>
              <w:pStyle w:val="Compact"/>
            </w:pPr>
            <w:r>
              <w:t xml:space="preserve">(0.0250)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-0.2455*</w:t>
            </w:r>
          </w:p>
        </w:tc>
        <w:tc>
          <w:tcPr/>
          <w:p>
            <w:pPr>
              <w:pStyle w:val="Compact"/>
            </w:pPr>
            <w:r>
              <w:t xml:space="preserve">-0.2765**</w:t>
            </w:r>
          </w:p>
        </w:tc>
        <w:tc>
          <w:tcPr/>
          <w:p>
            <w:pPr>
              <w:pStyle w:val="Compact"/>
            </w:pPr>
            <w:r>
              <w:t xml:space="preserve">-0.2376*</w:t>
            </w:r>
          </w:p>
        </w:tc>
        <w:tc>
          <w:tcPr/>
          <w:p>
            <w:pPr>
              <w:pStyle w:val="Compact"/>
            </w:pPr>
            <w:r>
              <w:t xml:space="preserve">-0.2689**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(0.1333)</w:t>
            </w:r>
          </w:p>
        </w:tc>
        <w:tc>
          <w:tcPr/>
          <w:p>
            <w:pPr>
              <w:pStyle w:val="Compact"/>
            </w:pPr>
            <w:r>
              <w:t xml:space="preserve">(0.1327)</w:t>
            </w:r>
          </w:p>
        </w:tc>
        <w:tc>
          <w:tcPr/>
          <w:p>
            <w:pPr>
              <w:pStyle w:val="Compact"/>
            </w:pPr>
            <w:r>
              <w:t xml:space="preserve">(0.1353)</w:t>
            </w:r>
          </w:p>
        </w:tc>
        <w:tc>
          <w:tcPr/>
          <w:p>
            <w:pPr>
              <w:pStyle w:val="Compact"/>
            </w:pPr>
            <w:r>
              <w:t xml:space="preserve">(0.1347)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0.0031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0.6631***</w:t>
            </w:r>
          </w:p>
        </w:tc>
        <w:tc>
          <w:tcPr/>
          <w:p>
            <w:pPr>
              <w:pStyle w:val="Compact"/>
            </w:pPr>
            <w:r>
              <w:t xml:space="preserve">0.6669***</w:t>
            </w:r>
          </w:p>
        </w:tc>
        <w:tc>
          <w:tcPr/>
          <w:p>
            <w:pPr>
              <w:pStyle w:val="Compact"/>
            </w:pPr>
            <w:r>
              <w:t xml:space="preserve">0.6555***</w:t>
            </w:r>
          </w:p>
        </w:tc>
        <w:tc>
          <w:tcPr/>
          <w:p>
            <w:pPr>
              <w:pStyle w:val="Compact"/>
            </w:pPr>
            <w:r>
              <w:t xml:space="preserve">0.6595***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(0.1388)</w:t>
            </w:r>
          </w:p>
        </w:tc>
        <w:tc>
          <w:tcPr/>
          <w:p>
            <w:pPr>
              <w:pStyle w:val="Compact"/>
            </w:pPr>
            <w:r>
              <w:t xml:space="preserve">(0.1392)</w:t>
            </w:r>
          </w:p>
        </w:tc>
        <w:tc>
          <w:tcPr/>
          <w:p>
            <w:pPr>
              <w:pStyle w:val="Compact"/>
            </w:pPr>
            <w:r>
              <w:t xml:space="preserve">(0.1395)</w:t>
            </w:r>
          </w:p>
        </w:tc>
        <w:tc>
          <w:tcPr/>
          <w:p>
            <w:pPr>
              <w:pStyle w:val="Compact"/>
            </w:pPr>
            <w:r>
              <w:t xml:space="preserve">(0.1399)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0.0450**</w:t>
            </w:r>
          </w:p>
        </w:tc>
        <w:tc>
          <w:tcPr/>
          <w:p>
            <w:pPr>
              <w:pStyle w:val="Compact"/>
            </w:pPr>
            <w:r>
              <w:t xml:space="preserve">0.0405*</w:t>
            </w:r>
          </w:p>
        </w:tc>
        <w:tc>
          <w:tcPr/>
          <w:p>
            <w:pPr>
              <w:pStyle w:val="Compact"/>
            </w:pPr>
            <w:r>
              <w:t xml:space="preserve">0.0397*</w:t>
            </w:r>
          </w:p>
        </w:tc>
        <w:tc>
          <w:tcPr/>
          <w:p>
            <w:pPr>
              <w:pStyle w:val="Compact"/>
            </w:pPr>
            <w:r>
              <w:t xml:space="preserve">0.0354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(0.0220)</w:t>
            </w:r>
          </w:p>
        </w:tc>
        <w:tc>
          <w:tcPr/>
          <w:p>
            <w:pPr>
              <w:pStyle w:val="Compact"/>
            </w:pPr>
            <w:r>
              <w:t xml:space="preserve">(0.0216)</w:t>
            </w:r>
          </w:p>
        </w:tc>
        <w:tc>
          <w:tcPr/>
          <w:p>
            <w:pPr>
              <w:pStyle w:val="Compact"/>
            </w:pPr>
            <w:r>
              <w:t xml:space="preserve">(0.0229)</w:t>
            </w:r>
          </w:p>
        </w:tc>
        <w:tc>
          <w:tcPr/>
          <w:p>
            <w:pPr>
              <w:pStyle w:val="Compact"/>
            </w:pPr>
            <w:r>
              <w:t xml:space="preserve">(0.0224)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-0.0013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Naive labshare = LABR/VALU (Compensation of employees / Value added); excludes self-employment income.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Gollin-adjusted labshare_adj = labshare / (1 - self_emp_share); self_emp_share = WDI SL.EMP.SELF.ZS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(country-year, modeled ILO estimate), applied uniformly across industries within a country-year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(STAN A*10 does not separate paid employees from total employment by industry).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Adjustment method: Gollin’s</w:t>
            </w:r>
            <w:r>
              <w:t xml:space="preserve"> </w:t>
            </w:r>
            <w:r>
              <w:t xml:space="preserve">‘average wage’</w:t>
            </w:r>
            <w:r>
              <w:t xml:space="preserve"> </w:t>
            </w:r>
            <w:r>
              <w:t xml:space="preserve">assumption (self-employed earn the same as employees).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Reported as a robustness check alongside the naive main specification (Table 9), not a replacement.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country-industry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2026-07-22T06:29:43Z</dcterms:created>
  <dcterms:modified xsi:type="dcterms:W3CDTF">2026-07-22T06:29:43Z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