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14. Moderator Threshold Sensitivity</w:t>
      </w:r>
    </w:p>
    <w:tbl>
      <w:tblPr>
        <w:tblStyle w:val="Table"/>
        <w:tblW w:type="pct" w:w="4914"/>
        <w:tblLayout w:type="fixed"/>
        <w:tblLook w:firstRow="1" w:lastRow="1" w:firstColumn="0" w:lastColumn="0" w:noHBand="0" w:noVBand="0" w:val="0020"/>
        <w:tblCaption w:val="Table 14. Moderator Threshold Sensitivity"/>
      </w:tblPr>
      <w:tblGrid>
        <w:gridCol w:w="2443"/>
        <w:gridCol w:w="1402"/>
        <w:gridCol w:w="1357"/>
        <w:gridCol w:w="1312"/>
        <w:gridCol w:w="1267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(R7a) High-capital, ind-spec</w:t>
            </w:r>
          </w:p>
        </w:tc>
        <w:tc>
          <w:tcPr/>
          <w:p>
            <w:pPr>
              <w:pStyle w:val="Compact"/>
            </w:pPr>
            <w:r>
              <w:t xml:space="preserve">(R7b) Low-capital, ind-spec</w:t>
            </w:r>
          </w:p>
        </w:tc>
        <w:tc>
          <w:tcPr/>
          <w:p>
            <w:pPr>
              <w:pStyle w:val="Compact"/>
            </w:pPr>
            <w:r>
              <w:t xml:space="preserve">(R7c) High-skill, ind-spec</w:t>
            </w:r>
          </w:p>
        </w:tc>
        <w:tc>
          <w:tcPr/>
          <w:p>
            <w:pPr>
              <w:pStyle w:val="Compact"/>
            </w:pPr>
            <w:r>
              <w:t xml:space="preserve">(R7d) Low-skill, ind-spec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Patent Intensity (ln, IV)</w:t>
            </w:r>
          </w:p>
        </w:tc>
        <w:tc>
          <w:tcPr/>
          <w:p>
            <w:pPr>
              <w:pStyle w:val="Compact"/>
            </w:pPr>
            <w:r>
              <w:t xml:space="preserve">0.0327</w:t>
            </w:r>
          </w:p>
        </w:tc>
        <w:tc>
          <w:tcPr/>
          <w:p>
            <w:pPr>
              <w:pStyle w:val="Compact"/>
            </w:pPr>
            <w:r>
              <w:t xml:space="preserve">0.0058</w:t>
            </w:r>
          </w:p>
        </w:tc>
        <w:tc>
          <w:tcPr/>
          <w:p>
            <w:pPr>
              <w:pStyle w:val="Compact"/>
            </w:pPr>
            <w:r>
              <w:t xml:space="preserve">0.0131</w:t>
            </w:r>
          </w:p>
        </w:tc>
        <w:tc>
          <w:tcPr/>
          <w:p>
            <w:pPr>
              <w:pStyle w:val="Compact"/>
            </w:pPr>
            <w:r>
              <w:t xml:space="preserve">0.0051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(0.0333)</w:t>
            </w:r>
          </w:p>
        </w:tc>
        <w:tc>
          <w:tcPr/>
          <w:p>
            <w:pPr>
              <w:pStyle w:val="Compact"/>
            </w:pPr>
            <w:r>
              <w:t xml:space="preserve">(0.0361)</w:t>
            </w:r>
          </w:p>
        </w:tc>
        <w:tc>
          <w:tcPr/>
          <w:p>
            <w:pPr>
              <w:pStyle w:val="Compact"/>
            </w:pPr>
            <w:r>
              <w:t xml:space="preserve">(0.0319)</w:t>
            </w:r>
          </w:p>
        </w:tc>
        <w:tc>
          <w:tcPr/>
          <w:p>
            <w:pPr>
              <w:pStyle w:val="Compact"/>
            </w:pPr>
            <w:r>
              <w:t xml:space="preserve">(0.0424)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 per capita (ln, constant 2015 USD)</w:t>
            </w:r>
          </w:p>
        </w:tc>
        <w:tc>
          <w:tcPr/>
          <w:p>
            <w:pPr>
              <w:pStyle w:val="Compact"/>
            </w:pPr>
            <w:r>
              <w:t xml:space="preserve">-0.1663</w:t>
            </w:r>
          </w:p>
        </w:tc>
        <w:tc>
          <w:tcPr/>
          <w:p>
            <w:pPr>
              <w:pStyle w:val="Compact"/>
            </w:pPr>
            <w:r>
              <w:t xml:space="preserve">-0.2722*</w:t>
            </w:r>
          </w:p>
        </w:tc>
        <w:tc>
          <w:tcPr/>
          <w:p>
            <w:pPr>
              <w:pStyle w:val="Compact"/>
            </w:pPr>
            <w:r>
              <w:t xml:space="preserve">-0.2059</w:t>
            </w:r>
          </w:p>
        </w:tc>
        <w:tc>
          <w:tcPr/>
          <w:p>
            <w:pPr>
              <w:pStyle w:val="Compact"/>
            </w:pPr>
            <w:r>
              <w:t xml:space="preserve">-0.2071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(0.1793)</w:t>
            </w:r>
          </w:p>
        </w:tc>
        <w:tc>
          <w:tcPr/>
          <w:p>
            <w:pPr>
              <w:pStyle w:val="Compact"/>
            </w:pPr>
            <w:r>
              <w:t xml:space="preserve">(0.1615)</w:t>
            </w:r>
          </w:p>
        </w:tc>
        <w:tc>
          <w:tcPr/>
          <w:p>
            <w:pPr>
              <w:pStyle w:val="Compact"/>
            </w:pPr>
            <w:r>
              <w:t xml:space="preserve">(0.2379)</w:t>
            </w:r>
          </w:p>
        </w:tc>
        <w:tc>
          <w:tcPr/>
          <w:p>
            <w:pPr>
              <w:pStyle w:val="Compact"/>
            </w:pPr>
            <w:r>
              <w:t xml:space="preserve">(0.1628)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Renewable energy (% total final energy consumption)</w:t>
            </w:r>
          </w:p>
        </w:tc>
        <w:tc>
          <w:tcPr/>
          <w:p>
            <w:pPr>
              <w:pStyle w:val="Compact"/>
            </w:pPr>
            <w:r>
              <w:t xml:space="preserve">0.0030</w:t>
            </w:r>
          </w:p>
        </w:tc>
        <w:tc>
          <w:tcPr/>
          <w:p>
            <w:pPr>
              <w:pStyle w:val="Compact"/>
            </w:pPr>
            <w:r>
              <w:t xml:space="preserve">-0.0012</w:t>
            </w:r>
          </w:p>
        </w:tc>
        <w:tc>
          <w:tcPr/>
          <w:p>
            <w:pPr>
              <w:pStyle w:val="Compact"/>
            </w:pPr>
            <w:r>
              <w:t xml:space="preserve">0.0043</w:t>
            </w:r>
          </w:p>
        </w:tc>
        <w:tc>
          <w:tcPr/>
          <w:p>
            <w:pPr>
              <w:pStyle w:val="Compact"/>
            </w:pPr>
            <w:r>
              <w:t xml:space="preserve">-0.0038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(0.0036)</w:t>
            </w:r>
          </w:p>
        </w:tc>
        <w:tc>
          <w:tcPr/>
          <w:p>
            <w:pPr>
              <w:pStyle w:val="Compact"/>
            </w:pPr>
            <w:r>
              <w:t xml:space="preserve">(0.0051)</w:t>
            </w:r>
          </w:p>
        </w:tc>
        <w:tc>
          <w:tcPr/>
          <w:p>
            <w:pPr>
              <w:pStyle w:val="Compact"/>
            </w:pPr>
            <w:r>
              <w:t xml:space="preserve">(0.0073)</w:t>
            </w:r>
          </w:p>
        </w:tc>
        <w:tc>
          <w:tcPr/>
          <w:p>
            <w:pPr>
              <w:pStyle w:val="Compact"/>
            </w:pPr>
            <w:r>
              <w:t xml:space="preserve">(0.0036)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Capital formation / Value added</w:t>
            </w:r>
          </w:p>
        </w:tc>
        <w:tc>
          <w:tcPr/>
          <w:p>
            <w:pPr>
              <w:pStyle w:val="Compact"/>
            </w:pPr>
            <w:r>
              <w:t xml:space="preserve">0.4673**</w:t>
            </w:r>
          </w:p>
        </w:tc>
        <w:tc>
          <w:tcPr/>
          <w:p>
            <w:pPr>
              <w:pStyle w:val="Compact"/>
            </w:pPr>
            <w:r>
              <w:t xml:space="preserve">0.8956***</w:t>
            </w:r>
          </w:p>
        </w:tc>
        <w:tc>
          <w:tcPr/>
          <w:p>
            <w:pPr>
              <w:pStyle w:val="Compact"/>
            </w:pPr>
            <w:r>
              <w:t xml:space="preserve">0.7628***</w:t>
            </w:r>
          </w:p>
        </w:tc>
        <w:tc>
          <w:tcPr/>
          <w:p>
            <w:pPr>
              <w:pStyle w:val="Compact"/>
            </w:pPr>
            <w:r>
              <w:t xml:space="preserve">0.5063***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(0.1807)</w:t>
            </w:r>
          </w:p>
        </w:tc>
        <w:tc>
          <w:tcPr/>
          <w:p>
            <w:pPr>
              <w:pStyle w:val="Compact"/>
            </w:pPr>
            <w:r>
              <w:t xml:space="preserve">(0.2591)</w:t>
            </w:r>
          </w:p>
        </w:tc>
        <w:tc>
          <w:tcPr/>
          <w:p>
            <w:pPr>
              <w:pStyle w:val="Compact"/>
            </w:pPr>
            <w:r>
              <w:t xml:space="preserve">(0.1976)</w:t>
            </w:r>
          </w:p>
        </w:tc>
        <w:tc>
          <w:tcPr/>
          <w:p>
            <w:pPr>
              <w:pStyle w:val="Compact"/>
            </w:pPr>
            <w:r>
              <w:t xml:space="preserve">(0.1924)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R&amp;D expenditure (% of GDP)</w:t>
            </w:r>
          </w:p>
        </w:tc>
        <w:tc>
          <w:tcPr/>
          <w:p>
            <w:pPr>
              <w:pStyle w:val="Compact"/>
            </w:pPr>
            <w:r>
              <w:t xml:space="preserve">0.0029</w:t>
            </w:r>
          </w:p>
        </w:tc>
        <w:tc>
          <w:tcPr/>
          <w:p>
            <w:pPr>
              <w:pStyle w:val="Compact"/>
            </w:pPr>
            <w:r>
              <w:t xml:space="preserve">0.0549**</w:t>
            </w:r>
          </w:p>
        </w:tc>
        <w:tc>
          <w:tcPr/>
          <w:p>
            <w:pPr>
              <w:pStyle w:val="Compact"/>
            </w:pPr>
            <w:r>
              <w:t xml:space="preserve">0.0429</w:t>
            </w:r>
          </w:p>
        </w:tc>
        <w:tc>
          <w:tcPr/>
          <w:p>
            <w:pPr>
              <w:pStyle w:val="Compact"/>
            </w:pPr>
            <w:r>
              <w:t xml:space="preserve">0.0281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(0.0310)</w:t>
            </w:r>
          </w:p>
        </w:tc>
        <w:tc>
          <w:tcPr/>
          <w:p>
            <w:pPr>
              <w:pStyle w:val="Compact"/>
            </w:pPr>
            <w:r>
              <w:t xml:space="preserve">(0.0269)</w:t>
            </w:r>
          </w:p>
        </w:tc>
        <w:tc>
          <w:tcPr/>
          <w:p>
            <w:pPr>
              <w:pStyle w:val="Compact"/>
            </w:pPr>
            <w:r>
              <w:t xml:space="preserve">(0.0347)</w:t>
            </w:r>
          </w:p>
        </w:tc>
        <w:tc>
          <w:tcPr/>
          <w:p>
            <w:pPr>
              <w:pStyle w:val="Compact"/>
            </w:pPr>
            <w:r>
              <w:t xml:space="preserve">(0.0247)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Trade openness (% of GDP)</w:t>
            </w:r>
          </w:p>
        </w:tc>
        <w:tc>
          <w:tcPr/>
          <w:p>
            <w:pPr>
              <w:pStyle w:val="Compact"/>
            </w:pPr>
            <w:r>
              <w:t xml:space="preserve">-0.0006</w:t>
            </w:r>
          </w:p>
        </w:tc>
        <w:tc>
          <w:tcPr/>
          <w:p>
            <w:pPr>
              <w:pStyle w:val="Compact"/>
            </w:pPr>
            <w:r>
              <w:t xml:space="preserve">-0.0010</w:t>
            </w:r>
          </w:p>
        </w:tc>
        <w:tc>
          <w:tcPr/>
          <w:p>
            <w:pPr>
              <w:pStyle w:val="Compact"/>
            </w:pPr>
            <w:r>
              <w:t xml:space="preserve">-0.0008</w:t>
            </w:r>
          </w:p>
        </w:tc>
        <w:tc>
          <w:tcPr/>
          <w:p>
            <w:pPr>
              <w:pStyle w:val="Compact"/>
            </w:pPr>
            <w:r>
              <w:t xml:space="preserve">-0.0021*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(0.0011)</w:t>
            </w:r>
          </w:p>
        </w:tc>
        <w:tc>
          <w:tcPr/>
          <w:p>
            <w:pPr>
              <w:pStyle w:val="Compact"/>
            </w:pPr>
            <w:r>
              <w:t xml:space="preserve">(0.0012)</w:t>
            </w:r>
          </w:p>
        </w:tc>
        <w:tc>
          <w:tcPr/>
          <w:p>
            <w:pPr>
              <w:pStyle w:val="Compact"/>
            </w:pPr>
            <w:r>
              <w:t xml:space="preserve">(0.0010)</w:t>
            </w:r>
          </w:p>
        </w:tc>
        <w:tc>
          <w:tcPr/>
          <w:p>
            <w:pPr>
              <w:pStyle w:val="Compact"/>
            </w:pPr>
            <w:r>
              <w:t xml:space="preserve">(0.0011)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 broadband subscriptions (per 100 people)</w:t>
            </w:r>
          </w:p>
        </w:tc>
        <w:tc>
          <w:tcPr/>
          <w:p>
            <w:pPr>
              <w:pStyle w:val="Compact"/>
            </w:pPr>
            <w:r>
              <w:t xml:space="preserve">0.0086*</w:t>
            </w:r>
          </w:p>
        </w:tc>
        <w:tc>
          <w:tcPr/>
          <w:p>
            <w:pPr>
              <w:pStyle w:val="Compact"/>
            </w:pPr>
            <w:r>
              <w:t xml:space="preserve">-0.0032</w:t>
            </w:r>
          </w:p>
        </w:tc>
        <w:tc>
          <w:tcPr/>
          <w:p>
            <w:pPr>
              <w:pStyle w:val="Compact"/>
            </w:pPr>
            <w:r>
              <w:t xml:space="preserve">-0.0123</w:t>
            </w:r>
          </w:p>
        </w:tc>
        <w:tc>
          <w:tcPr/>
          <w:p>
            <w:pPr>
              <w:pStyle w:val="Compact"/>
            </w:pPr>
            <w:r>
              <w:t xml:space="preserve">0.0065*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(0.0045)</w:t>
            </w:r>
          </w:p>
        </w:tc>
        <w:tc>
          <w:tcPr/>
          <w:p>
            <w:pPr>
              <w:pStyle w:val="Compact"/>
            </w:pPr>
            <w:r>
              <w:t xml:space="preserve">(0.0051)</w:t>
            </w:r>
          </w:p>
        </w:tc>
        <w:tc>
          <w:tcPr/>
          <w:p>
            <w:pPr>
              <w:pStyle w:val="Compact"/>
            </w:pPr>
            <w:r>
              <w:t xml:space="preserve">(0.0080)</w:t>
            </w:r>
          </w:p>
        </w:tc>
        <w:tc>
          <w:tcPr/>
          <w:p>
            <w:pPr>
              <w:pStyle w:val="Compact"/>
            </w:pPr>
            <w:r>
              <w:t xml:space="preserve">(0.0033)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1543</w:t>
            </w:r>
          </w:p>
        </w:tc>
        <w:tc>
          <w:tcPr/>
          <w:p>
            <w:pPr>
              <w:pStyle w:val="Compact"/>
            </w:pPr>
            <w:r>
              <w:t xml:space="preserve">1544</w:t>
            </w:r>
          </w:p>
        </w:tc>
        <w:tc>
          <w:tcPr/>
          <w:p>
            <w:pPr>
              <w:pStyle w:val="Compact"/>
            </w:pPr>
            <w:r>
              <w:t xml:space="preserve">1504</w:t>
            </w:r>
          </w:p>
        </w:tc>
        <w:tc>
          <w:tcPr/>
          <w:p>
            <w:pPr>
              <w:pStyle w:val="Compact"/>
            </w:pPr>
            <w:r>
              <w:t xml:space="preserve">1605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0.936</w:t>
            </w:r>
          </w:p>
        </w:tc>
        <w:tc>
          <w:tcPr/>
          <w:p>
            <w:pPr>
              <w:pStyle w:val="Compact"/>
            </w:pPr>
            <w:r>
              <w:t xml:space="preserve">0.952</w:t>
            </w:r>
          </w:p>
        </w:tc>
        <w:tc>
          <w:tcPr/>
          <w:p>
            <w:pPr>
              <w:pStyle w:val="Compact"/>
            </w:pPr>
            <w:r>
              <w:t xml:space="preserve">0.933</w:t>
            </w:r>
          </w:p>
        </w:tc>
        <w:tc>
          <w:tcPr/>
          <w:p>
            <w:pPr>
              <w:pStyle w:val="Compact"/>
            </w:pPr>
            <w:r>
              <w:t xml:space="preserve">0.942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0.927</w:t>
            </w:r>
          </w:p>
        </w:tc>
        <w:tc>
          <w:tcPr/>
          <w:p>
            <w:pPr>
              <w:pStyle w:val="Compact"/>
            </w:pPr>
            <w:r>
              <w:t xml:space="preserve">0.945</w:t>
            </w:r>
          </w:p>
        </w:tc>
        <w:tc>
          <w:tcPr/>
          <w:p>
            <w:pPr>
              <w:pStyle w:val="Compact"/>
            </w:pPr>
            <w:r>
              <w:t xml:space="preserve">0.925</w:t>
            </w:r>
          </w:p>
        </w:tc>
        <w:tc>
          <w:tcPr/>
          <w:p>
            <w:pPr>
              <w:pStyle w:val="Compact"/>
            </w:pPr>
            <w:r>
              <w:t xml:space="preserve">0.935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</w:t>
            </w:r>
          </w:p>
        </w:tc>
        <w:tc>
          <w:tcPr/>
          <w:p>
            <w:pPr>
              <w:pStyle w:val="Compact"/>
            </w:pPr>
            <w:r>
              <w:t xml:space="preserve">0.108</w:t>
            </w:r>
          </w:p>
        </w:tc>
        <w:tc>
          <w:tcPr/>
          <w:p>
            <w:pPr>
              <w:pStyle w:val="Compact"/>
            </w:pPr>
            <w:r>
              <w:t xml:space="preserve">0.091</w:t>
            </w:r>
          </w:p>
        </w:tc>
        <w:tc>
          <w:tcPr/>
          <w:p>
            <w:pPr>
              <w:pStyle w:val="Compact"/>
            </w:pPr>
            <w:r>
              <w:t xml:space="preserve">0.204</w:t>
            </w:r>
          </w:p>
        </w:tc>
        <w:tc>
          <w:tcPr/>
          <w:p>
            <w:pPr>
              <w:pStyle w:val="Compact"/>
            </w:pPr>
            <w:r>
              <w:t xml:space="preserve">0.129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 Adj.</w:t>
            </w:r>
          </w:p>
        </w:tc>
        <w:tc>
          <w:tcPr/>
          <w:p>
            <w:pPr>
              <w:pStyle w:val="Compact"/>
            </w:pPr>
            <w:r>
              <w:t xml:space="preserve">0.103</w:t>
            </w:r>
          </w:p>
        </w:tc>
        <w:tc>
          <w:tcPr/>
          <w:p>
            <w:pPr>
              <w:pStyle w:val="Compact"/>
            </w:pPr>
            <w:r>
              <w:t xml:space="preserve">0.086</w:t>
            </w:r>
          </w:p>
        </w:tc>
        <w:tc>
          <w:tcPr/>
          <w:p>
            <w:pPr>
              <w:pStyle w:val="Compact"/>
            </w:pPr>
            <w:r>
              <w:t xml:space="preserve">0.200</w:t>
            </w:r>
          </w:p>
        </w:tc>
        <w:tc>
          <w:tcPr/>
          <w:p>
            <w:pPr>
              <w:pStyle w:val="Compact"/>
            </w:pPr>
            <w:r>
              <w:t xml:space="preserve">0.125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pair_id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year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>
            <w:gridSpan w:val="5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** p &lt; 0.05, *** p &lt; 0.01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Primary specification (Table 9/10, R1/R2b): HighCapital/HighSkill = 1 if capform/avg_wage &gt;=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COUNTRY-specific median (within-country, across-industry split; purges country-level confounds).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This table: same subsample splits using INDUSTRY-specific median instead (within-industry,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across-country split) - a sensitivity check on the threshold definition, not the primary test.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SE clustered at pair level. * p&lt;0.10, ** p&lt;0.05, *** p&lt;0.01. Alpha = 0.10.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2026-07-14T10:34:19Z</dcterms:created>
  <dcterms:modified xsi:type="dcterms:W3CDTF">2026-07-14T10:34:19Z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