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14. Moderator Threshold Sensitivity</w:t>
      </w:r>
    </w:p>
    <w:tbl>
      <w:tblPr>
        <w:tblStyle w:val="Table"/>
        <w:tblW w:type="pct" w:w="4914"/>
        <w:tblLayout w:type="fixed"/>
        <w:tblLook w:firstRow="1" w:lastRow="1" w:firstColumn="0" w:lastColumn="0" w:noHBand="0" w:noVBand="0" w:val="0020"/>
        <w:tblCaption w:val="Table 14. Moderator Threshold Sensitivity"/>
      </w:tblPr>
      <w:tblGrid>
        <w:gridCol w:w="2443"/>
        <w:gridCol w:w="1402"/>
        <w:gridCol w:w="1357"/>
        <w:gridCol w:w="1312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(R7a) High-capital, ind-spec</w:t>
            </w:r>
          </w:p>
        </w:tc>
        <w:tc>
          <w:tcPr/>
          <w:p>
            <w:pPr>
              <w:pStyle w:val="Compact"/>
            </w:pPr>
            <w:r>
              <w:t xml:space="preserve">(R7b) Low-capital, ind-spec</w:t>
            </w:r>
          </w:p>
        </w:tc>
        <w:tc>
          <w:tcPr/>
          <w:p>
            <w:pPr>
              <w:pStyle w:val="Compact"/>
            </w:pPr>
            <w:r>
              <w:t xml:space="preserve">(R7c) High-skill, ind-spec</w:t>
            </w:r>
          </w:p>
        </w:tc>
        <w:tc>
          <w:tcPr/>
          <w:p>
            <w:pPr>
              <w:pStyle w:val="Compact"/>
            </w:pPr>
            <w:r>
              <w:t xml:space="preserve">(R7d) Low-skill, ind-spec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0.0327</w:t>
            </w:r>
          </w:p>
        </w:tc>
        <w:tc>
          <w:tcPr/>
          <w:p>
            <w:pPr>
              <w:pStyle w:val="Compact"/>
            </w:pPr>
            <w:r>
              <w:t xml:space="preserve">0.0058</w:t>
            </w:r>
          </w:p>
        </w:tc>
        <w:tc>
          <w:tcPr/>
          <w:p>
            <w:pPr>
              <w:pStyle w:val="Compact"/>
            </w:pPr>
            <w:r>
              <w:t xml:space="preserve">0.0131</w:t>
            </w:r>
          </w:p>
        </w:tc>
        <w:tc>
          <w:tcPr/>
          <w:p>
            <w:pPr>
              <w:pStyle w:val="Compact"/>
            </w:pPr>
            <w:r>
              <w:t xml:space="preserve">0.0051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(0.0333)</w:t>
            </w:r>
          </w:p>
        </w:tc>
        <w:tc>
          <w:tcPr/>
          <w:p>
            <w:pPr>
              <w:pStyle w:val="Compact"/>
            </w:pPr>
            <w:r>
              <w:t xml:space="preserve">(0.0361)</w:t>
            </w:r>
          </w:p>
        </w:tc>
        <w:tc>
          <w:tcPr/>
          <w:p>
            <w:pPr>
              <w:pStyle w:val="Compact"/>
            </w:pPr>
            <w:r>
              <w:t xml:space="preserve">(0.0319)</w:t>
            </w:r>
          </w:p>
        </w:tc>
        <w:tc>
          <w:tcPr/>
          <w:p>
            <w:pPr>
              <w:pStyle w:val="Compact"/>
            </w:pPr>
            <w:r>
              <w:t xml:space="preserve">(0.0424)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-0.1663</w:t>
            </w:r>
          </w:p>
        </w:tc>
        <w:tc>
          <w:tcPr/>
          <w:p>
            <w:pPr>
              <w:pStyle w:val="Compact"/>
            </w:pPr>
            <w:r>
              <w:t xml:space="preserve">-0.2722*</w:t>
            </w:r>
          </w:p>
        </w:tc>
        <w:tc>
          <w:tcPr/>
          <w:p>
            <w:pPr>
              <w:pStyle w:val="Compact"/>
            </w:pPr>
            <w:r>
              <w:t xml:space="preserve">-0.2059</w:t>
            </w:r>
          </w:p>
        </w:tc>
        <w:tc>
          <w:tcPr/>
          <w:p>
            <w:pPr>
              <w:pStyle w:val="Compact"/>
            </w:pPr>
            <w:r>
              <w:t xml:space="preserve">-0.2071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(0.1793)</w:t>
            </w:r>
          </w:p>
        </w:tc>
        <w:tc>
          <w:tcPr/>
          <w:p>
            <w:pPr>
              <w:pStyle w:val="Compact"/>
            </w:pPr>
            <w:r>
              <w:t xml:space="preserve">(0.1615)</w:t>
            </w:r>
          </w:p>
        </w:tc>
        <w:tc>
          <w:tcPr/>
          <w:p>
            <w:pPr>
              <w:pStyle w:val="Compact"/>
            </w:pPr>
            <w:r>
              <w:t xml:space="preserve">(0.2379)</w:t>
            </w:r>
          </w:p>
        </w:tc>
        <w:tc>
          <w:tcPr/>
          <w:p>
            <w:pPr>
              <w:pStyle w:val="Compact"/>
            </w:pPr>
            <w:r>
              <w:t xml:space="preserve">(0.1628)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0.0043</w:t>
            </w:r>
          </w:p>
        </w:tc>
        <w:tc>
          <w:tcPr/>
          <w:p>
            <w:pPr>
              <w:pStyle w:val="Compact"/>
            </w:pPr>
            <w:r>
              <w:t xml:space="preserve">-0.0038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  <w:tc>
          <w:tcPr/>
          <w:p>
            <w:pPr>
              <w:pStyle w:val="Compact"/>
            </w:pPr>
            <w:r>
              <w:t xml:space="preserve">(0.0051)</w:t>
            </w:r>
          </w:p>
        </w:tc>
        <w:tc>
          <w:tcPr/>
          <w:p>
            <w:pPr>
              <w:pStyle w:val="Compact"/>
            </w:pPr>
            <w:r>
              <w:t xml:space="preserve">(0.0073)</w:t>
            </w: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0.4673**</w:t>
            </w:r>
          </w:p>
        </w:tc>
        <w:tc>
          <w:tcPr/>
          <w:p>
            <w:pPr>
              <w:pStyle w:val="Compact"/>
            </w:pPr>
            <w:r>
              <w:t xml:space="preserve">0.8956***</w:t>
            </w:r>
          </w:p>
        </w:tc>
        <w:tc>
          <w:tcPr/>
          <w:p>
            <w:pPr>
              <w:pStyle w:val="Compact"/>
            </w:pPr>
            <w:r>
              <w:t xml:space="preserve">0.7628***</w:t>
            </w:r>
          </w:p>
        </w:tc>
        <w:tc>
          <w:tcPr/>
          <w:p>
            <w:pPr>
              <w:pStyle w:val="Compact"/>
            </w:pPr>
            <w:r>
              <w:t xml:space="preserve">0.5063***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(0.1807)</w:t>
            </w:r>
          </w:p>
        </w:tc>
        <w:tc>
          <w:tcPr/>
          <w:p>
            <w:pPr>
              <w:pStyle w:val="Compact"/>
            </w:pPr>
            <w:r>
              <w:t xml:space="preserve">(0.2591)</w:t>
            </w:r>
          </w:p>
        </w:tc>
        <w:tc>
          <w:tcPr/>
          <w:p>
            <w:pPr>
              <w:pStyle w:val="Compact"/>
            </w:pPr>
            <w:r>
              <w:t xml:space="preserve">(0.1976)</w:t>
            </w:r>
          </w:p>
        </w:tc>
        <w:tc>
          <w:tcPr/>
          <w:p>
            <w:pPr>
              <w:pStyle w:val="Compact"/>
            </w:pPr>
            <w:r>
              <w:t xml:space="preserve">(0.1924)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  <w:tc>
          <w:tcPr/>
          <w:p>
            <w:pPr>
              <w:pStyle w:val="Compact"/>
            </w:pPr>
            <w:r>
              <w:t xml:space="preserve">0.0549**</w:t>
            </w:r>
          </w:p>
        </w:tc>
        <w:tc>
          <w:tcPr/>
          <w:p>
            <w:pPr>
              <w:pStyle w:val="Compact"/>
            </w:pPr>
            <w:r>
              <w:t xml:space="preserve">0.0429</w:t>
            </w:r>
          </w:p>
        </w:tc>
        <w:tc>
          <w:tcPr/>
          <w:p>
            <w:pPr>
              <w:pStyle w:val="Compact"/>
            </w:pPr>
            <w:r>
              <w:t xml:space="preserve">0.0281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(0.0310)</w:t>
            </w:r>
          </w:p>
        </w:tc>
        <w:tc>
          <w:tcPr/>
          <w:p>
            <w:pPr>
              <w:pStyle w:val="Compact"/>
            </w:pPr>
            <w:r>
              <w:t xml:space="preserve">(0.0269)</w:t>
            </w:r>
          </w:p>
        </w:tc>
        <w:tc>
          <w:tcPr/>
          <w:p>
            <w:pPr>
              <w:pStyle w:val="Compact"/>
            </w:pPr>
            <w:r>
              <w:t xml:space="preserve">(0.0347)</w:t>
            </w:r>
          </w:p>
        </w:tc>
        <w:tc>
          <w:tcPr/>
          <w:p>
            <w:pPr>
              <w:pStyle w:val="Compact"/>
            </w:pPr>
            <w:r>
              <w:t xml:space="preserve">(0.0247)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-0.0006</w:t>
            </w:r>
          </w:p>
        </w:tc>
        <w:tc>
          <w:tcPr/>
          <w:p>
            <w:pPr>
              <w:pStyle w:val="Compact"/>
            </w:pPr>
            <w:r>
              <w:t xml:space="preserve">-0.0010</w:t>
            </w:r>
          </w:p>
        </w:tc>
        <w:tc>
          <w:tcPr/>
          <w:p>
            <w:pPr>
              <w:pStyle w:val="Compact"/>
            </w:pPr>
            <w:r>
              <w:t xml:space="preserve">-0.0008</w:t>
            </w:r>
          </w:p>
        </w:tc>
        <w:tc>
          <w:tcPr/>
          <w:p>
            <w:pPr>
              <w:pStyle w:val="Compact"/>
            </w:pPr>
            <w:r>
              <w:t xml:space="preserve">-0.0021*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(0.0012)</w:t>
            </w:r>
          </w:p>
        </w:tc>
        <w:tc>
          <w:tcPr/>
          <w:p>
            <w:pPr>
              <w:pStyle w:val="Compact"/>
            </w:pPr>
            <w:r>
              <w:t xml:space="preserve">(0.0010)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0.0086*</w:t>
            </w:r>
          </w:p>
        </w:tc>
        <w:tc>
          <w:tcPr/>
          <w:p>
            <w:pPr>
              <w:pStyle w:val="Compact"/>
            </w:pPr>
            <w:r>
              <w:t xml:space="preserve">-0.0032</w:t>
            </w:r>
          </w:p>
        </w:tc>
        <w:tc>
          <w:tcPr/>
          <w:p>
            <w:pPr>
              <w:pStyle w:val="Compact"/>
            </w:pPr>
            <w:r>
              <w:t xml:space="preserve">-0.0123</w:t>
            </w:r>
          </w:p>
        </w:tc>
        <w:tc>
          <w:tcPr/>
          <w:p>
            <w:pPr>
              <w:pStyle w:val="Compact"/>
            </w:pPr>
            <w:r>
              <w:t xml:space="preserve">0.0065*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(0.0045)</w:t>
            </w:r>
          </w:p>
        </w:tc>
        <w:tc>
          <w:tcPr/>
          <w:p>
            <w:pPr>
              <w:pStyle w:val="Compact"/>
            </w:pPr>
            <w:r>
              <w:t xml:space="preserve">(0.0051)</w:t>
            </w:r>
          </w:p>
        </w:tc>
        <w:tc>
          <w:tcPr/>
          <w:p>
            <w:pPr>
              <w:pStyle w:val="Compact"/>
            </w:pPr>
            <w:r>
              <w:t xml:space="preserve">(0.0080)</w:t>
            </w:r>
          </w:p>
        </w:tc>
        <w:tc>
          <w:tcPr/>
          <w:p>
            <w:pPr>
              <w:pStyle w:val="Compact"/>
            </w:pPr>
            <w:r>
              <w:t xml:space="preserve">(0.0033)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1543</w:t>
            </w:r>
          </w:p>
        </w:tc>
        <w:tc>
          <w:tcPr/>
          <w:p>
            <w:pPr>
              <w:pStyle w:val="Compact"/>
            </w:pPr>
            <w:r>
              <w:t xml:space="preserve">1544</w:t>
            </w:r>
          </w:p>
        </w:tc>
        <w:tc>
          <w:tcPr/>
          <w:p>
            <w:pPr>
              <w:pStyle w:val="Compact"/>
            </w:pPr>
            <w:r>
              <w:t xml:space="preserve">1504</w:t>
            </w:r>
          </w:p>
        </w:tc>
        <w:tc>
          <w:tcPr/>
          <w:p>
            <w:pPr>
              <w:pStyle w:val="Compact"/>
            </w:pPr>
            <w:r>
              <w:t xml:space="preserve">1605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0.945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Primary specification (Table 9/10, R1/R2b): HighCapital/HighSkill = 1 if capform/avg_wage &gt;=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COUNTRY-specific median (within-country, across-industry split; purges country-level confounds).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This table: same subsample splits using INDUSTRY-specific median instead (within-industry,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across-country split) - a sensitivity check on the threshold definition, not the primary test.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2026-07-22T06:29:43Z</dcterms:created>
  <dcterms:modified xsi:type="dcterms:W3CDTF">2026-07-22T06:29:43Z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