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15. Targeted Extensions (R8-R11)</w:t>
      </w:r>
    </w:p>
    <w:tbl>
      <w:tblPr>
        <w:tblStyle w:val="Table"/>
        <w:tblW w:type="pct" w:w="4900"/>
        <w:tblLayout w:type="fixed"/>
        <w:tblLook w:firstRow="1" w:lastRow="1" w:firstColumn="0" w:lastColumn="0" w:noHBand="0" w:noVBand="0" w:val="0020"/>
        <w:tblCaption w:val="Table 15. Targeted Extensions (R8-R11)"/>
      </w:tblPr>
      <w:tblGrid>
        <w:gridCol w:w="2851"/>
        <w:gridCol w:w="1108"/>
        <w:gridCol w:w="1372"/>
        <w:gridCol w:w="1267"/>
        <w:gridCol w:w="116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(R8) FE, AIPI lag1</w:t>
            </w:r>
          </w:p>
        </w:tc>
        <w:tc>
          <w:tcPr/>
          <w:p>
            <w:pPr>
              <w:pStyle w:val="Compact"/>
            </w:pPr>
            <w:r>
              <w:t xml:space="preserve">(R9) FE, Post-2018 int.</w:t>
            </w:r>
          </w:p>
        </w:tc>
        <w:tc>
          <w:tcPr/>
          <w:p>
            <w:pPr>
              <w:pStyle w:val="Compact"/>
            </w:pPr>
            <w:r>
              <w:t xml:space="preserve">(R10) FE-IV, ln(wage)</w:t>
            </w:r>
          </w:p>
        </w:tc>
        <w:tc>
          <w:tcPr/>
          <w:p>
            <w:pPr>
              <w:pStyle w:val="Compact"/>
            </w:pPr>
            <w:r>
              <w:t xml:space="preserve">(R11) FE, quadratic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-0.0135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0.0057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(0.0176)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-0.0706***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(0.0226)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GDP per capita (ln, constant 2015 USD)</w:t>
            </w:r>
          </w:p>
        </w:tc>
        <w:tc>
          <w:tcPr/>
          <w:p>
            <w:pPr>
              <w:pStyle w:val="Compact"/>
            </w:pPr>
            <w:r>
              <w:t xml:space="preserve">-0.2289*</w:t>
            </w:r>
          </w:p>
        </w:tc>
        <w:tc>
          <w:tcPr/>
          <w:p>
            <w:pPr>
              <w:pStyle w:val="Compact"/>
            </w:pPr>
            <w:r>
              <w:t xml:space="preserve">-0.2469*</w:t>
            </w:r>
          </w:p>
        </w:tc>
        <w:tc>
          <w:tcPr/>
          <w:p>
            <w:pPr>
              <w:pStyle w:val="Compact"/>
            </w:pPr>
            <w:r>
              <w:t xml:space="preserve">0.4606***</w:t>
            </w:r>
          </w:p>
        </w:tc>
        <w:tc>
          <w:tcPr/>
          <w:p>
            <w:pPr>
              <w:pStyle w:val="Compact"/>
            </w:pPr>
            <w:r>
              <w:t xml:space="preserve">-0.2442*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(0.1323)</w:t>
            </w:r>
          </w:p>
        </w:tc>
        <w:tc>
          <w:tcPr/>
          <w:p>
            <w:pPr>
              <w:pStyle w:val="Compact"/>
            </w:pPr>
            <w:r>
              <w:t xml:space="preserve">(0.1342)</w:t>
            </w:r>
          </w:p>
        </w:tc>
        <w:tc>
          <w:tcPr/>
          <w:p>
            <w:pPr>
              <w:pStyle w:val="Compact"/>
            </w:pPr>
            <w:r>
              <w:t xml:space="preserve">(0.0905)</w:t>
            </w:r>
          </w:p>
        </w:tc>
        <w:tc>
          <w:tcPr/>
          <w:p>
            <w:pPr>
              <w:pStyle w:val="Compact"/>
            </w:pPr>
            <w:r>
              <w:t xml:space="preserve">(0.1327)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 total final energy consumption)</w:t>
            </w:r>
          </w:p>
        </w:tc>
        <w:tc>
          <w:tcPr/>
          <w:p>
            <w:pPr>
              <w:pStyle w:val="Compact"/>
            </w:pPr>
            <w:r>
              <w:t xml:space="preserve">0.0030</w:t>
            </w:r>
          </w:p>
        </w:tc>
        <w:tc>
          <w:tcPr/>
          <w:p>
            <w:pPr>
              <w:pStyle w:val="Compact"/>
            </w:pPr>
            <w:r>
              <w:t xml:space="preserve">0.0025</w:t>
            </w:r>
          </w:p>
        </w:tc>
        <w:tc>
          <w:tcPr/>
          <w:p>
            <w:pPr>
              <w:pStyle w:val="Compact"/>
            </w:pPr>
            <w:r>
              <w:t xml:space="preserve">-0.0019</w:t>
            </w:r>
          </w:p>
        </w:tc>
        <w:tc>
          <w:tcPr/>
          <w:p>
            <w:pPr>
              <w:pStyle w:val="Compact"/>
            </w:pPr>
            <w:r>
              <w:t xml:space="preserve">0.0024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(0.0041)</w:t>
            </w:r>
          </w:p>
        </w:tc>
        <w:tc>
          <w:tcPr/>
          <w:p>
            <w:pPr>
              <w:pStyle w:val="Compact"/>
            </w:pPr>
            <w:r>
              <w:t xml:space="preserve">(0.0042)</w:t>
            </w:r>
          </w:p>
        </w:tc>
        <w:tc>
          <w:tcPr/>
          <w:p>
            <w:pPr>
              <w:pStyle w:val="Compact"/>
            </w:pPr>
            <w:r>
              <w:t xml:space="preserve">(0.0017)</w:t>
            </w:r>
          </w:p>
        </w:tc>
        <w:tc>
          <w:tcPr/>
          <w:p>
            <w:pPr>
              <w:pStyle w:val="Compact"/>
            </w:pPr>
            <w:r>
              <w:t xml:space="preserve">(0.0041)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Value added</w:t>
            </w:r>
          </w:p>
        </w:tc>
        <w:tc>
          <w:tcPr/>
          <w:p>
            <w:pPr>
              <w:pStyle w:val="Compact"/>
            </w:pPr>
            <w:r>
              <w:t xml:space="preserve">0.6845***</w:t>
            </w:r>
          </w:p>
        </w:tc>
        <w:tc>
          <w:tcPr/>
          <w:p>
            <w:pPr>
              <w:pStyle w:val="Compact"/>
            </w:pPr>
            <w:r>
              <w:t xml:space="preserve">0.6628***</w:t>
            </w:r>
          </w:p>
        </w:tc>
        <w:tc>
          <w:tcPr/>
          <w:p>
            <w:pPr>
              <w:pStyle w:val="Compact"/>
            </w:pPr>
            <w:r>
              <w:t xml:space="preserve">0.1009***</w:t>
            </w:r>
          </w:p>
        </w:tc>
        <w:tc>
          <w:tcPr/>
          <w:p>
            <w:pPr>
              <w:pStyle w:val="Compact"/>
            </w:pPr>
            <w:r>
              <w:t xml:space="preserve">0.6634***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(0.1360)</w:t>
            </w:r>
          </w:p>
        </w:tc>
        <w:tc>
          <w:tcPr/>
          <w:p>
            <w:pPr>
              <w:pStyle w:val="Compact"/>
            </w:pPr>
            <w:r>
              <w:t xml:space="preserve">(0.1388)</w:t>
            </w:r>
          </w:p>
        </w:tc>
        <w:tc>
          <w:tcPr/>
          <w:p>
            <w:pPr>
              <w:pStyle w:val="Compact"/>
            </w:pPr>
            <w:r>
              <w:t xml:space="preserve">(0.0359)</w:t>
            </w:r>
          </w:p>
        </w:tc>
        <w:tc>
          <w:tcPr/>
          <w:p>
            <w:pPr>
              <w:pStyle w:val="Compact"/>
            </w:pPr>
            <w:r>
              <w:t xml:space="preserve">(0.1394)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expenditure (% of GDP)</w:t>
            </w:r>
          </w:p>
        </w:tc>
        <w:tc>
          <w:tcPr/>
          <w:p>
            <w:pPr>
              <w:pStyle w:val="Compact"/>
            </w:pPr>
            <w:r>
              <w:t xml:space="preserve">0.0416*</w:t>
            </w:r>
          </w:p>
        </w:tc>
        <w:tc>
          <w:tcPr/>
          <w:p>
            <w:pPr>
              <w:pStyle w:val="Compact"/>
            </w:pPr>
            <w:r>
              <w:t xml:space="preserve">0.0452**</w:t>
            </w:r>
          </w:p>
        </w:tc>
        <w:tc>
          <w:tcPr/>
          <w:p>
            <w:pPr>
              <w:pStyle w:val="Compact"/>
            </w:pPr>
            <w:r>
              <w:t xml:space="preserve">0.0384***</w:t>
            </w:r>
          </w:p>
        </w:tc>
        <w:tc>
          <w:tcPr/>
          <w:p>
            <w:pPr>
              <w:pStyle w:val="Compact"/>
            </w:pPr>
            <w:r>
              <w:t xml:space="preserve">0.0466**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(0.0228)</w:t>
            </w:r>
          </w:p>
        </w:tc>
        <w:tc>
          <w:tcPr/>
          <w:p>
            <w:pPr>
              <w:pStyle w:val="Compact"/>
            </w:pPr>
            <w:r>
              <w:t xml:space="preserve">(0.0221)</w:t>
            </w:r>
          </w:p>
        </w:tc>
        <w:tc>
          <w:tcPr/>
          <w:p>
            <w:pPr>
              <w:pStyle w:val="Compact"/>
            </w:pPr>
            <w:r>
              <w:t xml:space="preserve">(0.0146)</w:t>
            </w:r>
          </w:p>
        </w:tc>
        <w:tc>
          <w:tcPr/>
          <w:p>
            <w:pPr>
              <w:pStyle w:val="Compact"/>
            </w:pPr>
            <w:r>
              <w:t xml:space="preserve">(0.0221)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 of GDP)</w:t>
            </w:r>
          </w:p>
        </w:tc>
        <w:tc>
          <w:tcPr/>
          <w:p>
            <w:pPr>
              <w:pStyle w:val="Compact"/>
            </w:pPr>
            <w:r>
              <w:t xml:space="preserve">-0.0012</w:t>
            </w:r>
          </w:p>
        </w:tc>
        <w:tc>
          <w:tcPr/>
          <w:p>
            <w:pPr>
              <w:pStyle w:val="Compact"/>
            </w:pPr>
            <w:r>
              <w:t xml:space="preserve">-0.0012</w:t>
            </w:r>
          </w:p>
        </w:tc>
        <w:tc>
          <w:tcPr/>
          <w:p>
            <w:pPr>
              <w:pStyle w:val="Compact"/>
            </w:pPr>
            <w:r>
              <w:t xml:space="preserve">-0.0032***</w:t>
            </w:r>
          </w:p>
        </w:tc>
        <w:tc>
          <w:tcPr/>
          <w:p>
            <w:pPr>
              <w:pStyle w:val="Compact"/>
            </w:pPr>
            <w:r>
              <w:t xml:space="preserve">-0.0012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(0.0008)</w:t>
            </w:r>
          </w:p>
        </w:tc>
        <w:tc>
          <w:tcPr/>
          <w:p>
            <w:pPr>
              <w:pStyle w:val="Compact"/>
            </w:pPr>
            <w:r>
              <w:t xml:space="preserve">(0.0009)</w:t>
            </w:r>
          </w:p>
        </w:tc>
        <w:tc>
          <w:tcPr/>
          <w:p>
            <w:pPr>
              <w:pStyle w:val="Compact"/>
            </w:pPr>
            <w:r>
              <w:t xml:space="preserve">(0.0004)</w:t>
            </w:r>
          </w:p>
        </w:tc>
        <w:tc>
          <w:tcPr/>
          <w:p>
            <w:pPr>
              <w:pStyle w:val="Compact"/>
            </w:pPr>
            <w:r>
              <w:t xml:space="preserve">(0.0009)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broadband subscriptions (per 100 people)</w:t>
            </w:r>
          </w:p>
        </w:tc>
        <w:tc>
          <w:tcPr/>
          <w:p>
            <w:pPr>
              <w:pStyle w:val="Compact"/>
            </w:pPr>
            <w:r>
              <w:t xml:space="preserve">0.0016</w:t>
            </w:r>
          </w:p>
        </w:tc>
        <w:tc>
          <w:tcPr/>
          <w:p>
            <w:pPr>
              <w:pStyle w:val="Compact"/>
            </w:pPr>
            <w:r>
              <w:t xml:space="preserve">0.0014</w:t>
            </w:r>
          </w:p>
        </w:tc>
        <w:tc>
          <w:tcPr/>
          <w:p>
            <w:pPr>
              <w:pStyle w:val="Compact"/>
            </w:pPr>
            <w:r>
              <w:t xml:space="preserve">-0.0050*</w:t>
            </w:r>
          </w:p>
        </w:tc>
        <w:tc>
          <w:tcPr/>
          <w:p>
            <w:pPr>
              <w:pStyle w:val="Compact"/>
            </w:pPr>
            <w:r>
              <w:t xml:space="preserve">0.0015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(0.0030)</w:t>
            </w:r>
          </w:p>
        </w:tc>
        <w:tc>
          <w:tcPr/>
          <w:p>
            <w:pPr>
              <w:pStyle w:val="Compact"/>
            </w:pPr>
            <w:r>
              <w:t xml:space="preserve">(0.0031)</w:t>
            </w:r>
          </w:p>
        </w:tc>
        <w:tc>
          <w:tcPr/>
          <w:p>
            <w:pPr>
              <w:pStyle w:val="Compact"/>
            </w:pPr>
            <w:r>
              <w:t xml:space="preserve">(0.0028)</w:t>
            </w:r>
          </w:p>
        </w:tc>
        <w:tc>
          <w:tcPr/>
          <w:p>
            <w:pPr>
              <w:pStyle w:val="Compact"/>
            </w:pPr>
            <w:r>
              <w:t xml:space="preserve">(0.0030)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lag t-1)</w:t>
            </w:r>
          </w:p>
        </w:tc>
        <w:tc>
          <w:tcPr/>
          <w:p>
            <w:pPr>
              <w:pStyle w:val="Compact"/>
            </w:pPr>
            <w:r>
              <w:t xml:space="preserve">-0.0192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(0.0158)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AIPI x Post-2018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(0.0048)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Patent Intensity squared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-0.0043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2880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0.932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0.165</w:t>
            </w:r>
          </w:p>
        </w:tc>
        <w:tc>
          <w:tcPr/>
          <w:p>
            <w:pPr>
              <w:pStyle w:val="Compact"/>
            </w:pPr>
            <w:r>
              <w:t xml:space="preserve">0.153</w:t>
            </w:r>
          </w:p>
        </w:tc>
        <w:tc>
          <w:tcPr/>
          <w:p>
            <w:pPr>
              <w:pStyle w:val="Compact"/>
            </w:pPr>
            <w:r>
              <w:t xml:space="preserve">0.205</w:t>
            </w:r>
          </w:p>
        </w:tc>
        <w:tc>
          <w:tcPr/>
          <w:p>
            <w:pPr>
              <w:pStyle w:val="Compact"/>
            </w:pPr>
            <w:r>
              <w:t xml:space="preserve">0.155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0.162</w:t>
            </w:r>
          </w:p>
        </w:tc>
        <w:tc>
          <w:tcPr/>
          <w:p>
            <w:pPr>
              <w:pStyle w:val="Compact"/>
            </w:pPr>
            <w:r>
              <w:t xml:space="preserve">0.151</w:t>
            </w:r>
          </w:p>
        </w:tc>
        <w:tc>
          <w:tcPr/>
          <w:p>
            <w:pPr>
              <w:pStyle w:val="Compact"/>
            </w:pPr>
            <w:r>
              <w:t xml:space="preserve">0.203</w:t>
            </w:r>
          </w:p>
        </w:tc>
        <w:tc>
          <w:tcPr/>
          <w:p>
            <w:pPr>
              <w:pStyle w:val="Compact"/>
            </w:pPr>
            <w:r>
              <w:t xml:space="preserve">0.152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R8: FE with AIPI lagged one year (t-1), testing delayed technology-diffusion effects.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R9: FE with AIPI x Post-2018 interaction, testing whether the effect intensified after the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documented deep-learning/LLM acceleration in AI patenting (Baruffaldi et al. 2020).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R10: FE-IV on ln(average wage) (LABR/EMPN) - wage-channel complement to the Table 12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employment-channel mechanism check.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R11: FE with AIPI + AIPI^2, testing the Acemoglu-Restrepo reinstatement-then-displacement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(inverted-U) hypothesis.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SE clustered at pair level. * 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2026-07-14T10:34:19Z</dcterms:created>
  <dcterms:modified xsi:type="dcterms:W3CDTF">2026-07-14T10:34:19Z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