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15. Targeted Extensions (R8-R11)</w:t>
      </w:r>
    </w:p>
    <w:tbl>
      <w:tblPr>
        <w:tblStyle w:val="Table"/>
        <w:tblW w:type="pct" w:w="4900"/>
        <w:tblLayout w:type="fixed"/>
        <w:tblLook w:firstRow="1" w:lastRow="1" w:firstColumn="0" w:lastColumn="0" w:noHBand="0" w:noVBand="0" w:val="0020"/>
        <w:tblCaption w:val="Table 15. Targeted Extensions (R8-R11)"/>
      </w:tblPr>
      <w:tblGrid>
        <w:gridCol w:w="2851"/>
        <w:gridCol w:w="1108"/>
        <w:gridCol w:w="1372"/>
        <w:gridCol w:w="1267"/>
        <w:gridCol w:w="11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(R8) FE, AIPI lag1</w:t>
            </w:r>
          </w:p>
        </w:tc>
        <w:tc>
          <w:tcPr/>
          <w:p>
            <w:pPr>
              <w:pStyle w:val="Compact"/>
            </w:pPr>
            <w:r>
              <w:t xml:space="preserve">(R9) FE, Post-2018 int.</w:t>
            </w:r>
          </w:p>
        </w:tc>
        <w:tc>
          <w:tcPr/>
          <w:p>
            <w:pPr>
              <w:pStyle w:val="Compact"/>
            </w:pPr>
            <w:r>
              <w:t xml:space="preserve">(R10) FE-IV, ln(wage)</w:t>
            </w:r>
          </w:p>
        </w:tc>
        <w:tc>
          <w:tcPr/>
          <w:p>
            <w:pPr>
              <w:pStyle w:val="Compact"/>
            </w:pPr>
            <w:r>
              <w:t xml:space="preserve">(R11) FE, quadratic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-0.0706***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-0.2289*</w:t>
            </w:r>
          </w:p>
        </w:tc>
        <w:tc>
          <w:tcPr/>
          <w:p>
            <w:pPr>
              <w:pStyle w:val="Compact"/>
            </w:pPr>
            <w:r>
              <w:t xml:space="preserve">-0.2469*</w:t>
            </w:r>
          </w:p>
        </w:tc>
        <w:tc>
          <w:tcPr/>
          <w:p>
            <w:pPr>
              <w:pStyle w:val="Compact"/>
            </w:pPr>
            <w:r>
              <w:t xml:space="preserve">0.4606***</w:t>
            </w:r>
          </w:p>
        </w:tc>
        <w:tc>
          <w:tcPr/>
          <w:p>
            <w:pPr>
              <w:pStyle w:val="Compact"/>
            </w:pPr>
            <w:r>
              <w:t xml:space="preserve">-0.2442*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(0.1323)</w:t>
            </w:r>
          </w:p>
        </w:tc>
        <w:tc>
          <w:tcPr/>
          <w:p>
            <w:pPr>
              <w:pStyle w:val="Compact"/>
            </w:pPr>
            <w:r>
              <w:t xml:space="preserve">(0.1342)</w:t>
            </w:r>
          </w:p>
        </w:tc>
        <w:tc>
          <w:tcPr/>
          <w:p>
            <w:pPr>
              <w:pStyle w:val="Compact"/>
            </w:pPr>
            <w:r>
              <w:t xml:space="preserve">(0.0905)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0.6845***</w:t>
            </w:r>
          </w:p>
        </w:tc>
        <w:tc>
          <w:tcPr/>
          <w:p>
            <w:pPr>
              <w:pStyle w:val="Compact"/>
            </w:pPr>
            <w:r>
              <w:t xml:space="preserve">0.6628***</w:t>
            </w:r>
          </w:p>
        </w:tc>
        <w:tc>
          <w:tcPr/>
          <w:p>
            <w:pPr>
              <w:pStyle w:val="Compact"/>
            </w:pPr>
            <w:r>
              <w:t xml:space="preserve">0.1009***</w:t>
            </w:r>
          </w:p>
        </w:tc>
        <w:tc>
          <w:tcPr/>
          <w:p>
            <w:pPr>
              <w:pStyle w:val="Compact"/>
            </w:pPr>
            <w:r>
              <w:t xml:space="preserve">0.6634***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(0.1360)</w:t>
            </w: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(0.0359)</w:t>
            </w:r>
          </w:p>
        </w:tc>
        <w:tc>
          <w:tcPr/>
          <w:p>
            <w:pPr>
              <w:pStyle w:val="Compact"/>
            </w:pPr>
            <w:r>
              <w:t xml:space="preserve">(0.1394)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0.0416*</w:t>
            </w:r>
          </w:p>
        </w:tc>
        <w:tc>
          <w:tcPr/>
          <w:p>
            <w:pPr>
              <w:pStyle w:val="Compact"/>
            </w:pPr>
            <w:r>
              <w:t xml:space="preserve">0.0452**</w:t>
            </w:r>
          </w:p>
        </w:tc>
        <w:tc>
          <w:tcPr/>
          <w:p>
            <w:pPr>
              <w:pStyle w:val="Compact"/>
            </w:pPr>
            <w:r>
              <w:t xml:space="preserve">0.0384***</w:t>
            </w:r>
          </w:p>
        </w:tc>
        <w:tc>
          <w:tcPr/>
          <w:p>
            <w:pPr>
              <w:pStyle w:val="Compact"/>
            </w:pPr>
            <w:r>
              <w:t xml:space="preserve">0.0466**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(0.0228)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(0.0146)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-0.0032***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-0.0050*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lag t-1)</w:t>
            </w:r>
          </w:p>
        </w:tc>
        <w:tc>
          <w:tcPr/>
          <w:p>
            <w:pPr>
              <w:pStyle w:val="Compact"/>
            </w:pPr>
            <w:r>
              <w:t xml:space="preserve">-0.0192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Post-2018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squared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2880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R8: FE with AIPI lagged one year (t-1), testing delayed technology-diffusion effects.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R9: FE with AIPI x Post-2018 interaction, testing whether the effect intensified after the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documented deep-learning/LLM acceleration in AI patenting (Baruffaldi et al. 2020).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R10: FE-IV on ln(average wage) (LABR/EMPN) - wage-channel complement to the Table 12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employment-channel mechanism check.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R11: FE with AIPI + AIPI^2, testing the Acemoglu-Restrepo reinstatement-then-displacement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(inverted-U) hypothesis.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2026-07-22T06:29:43Z</dcterms:created>
  <dcterms:modified xsi:type="dcterms:W3CDTF">2026-07-22T06:29:43Z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