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16. Second-Pass Refinements (R12-R14)</w:t>
      </w:r>
    </w:p>
    <w:tbl>
      <w:tblPr>
        <w:tblStyle w:val="Table"/>
        <w:tblW w:type="pct" w:w="4933"/>
        <w:tblLayout w:type="fixed"/>
        <w:tblLook w:firstRow="1" w:lastRow="1" w:firstColumn="0" w:lastColumn="0" w:noHBand="0" w:noVBand="0" w:val="0020"/>
        <w:tblCaption w:val="Table 16. Second-Pass Refinements (R12-R14)"/>
      </w:tblPr>
      <w:tblGrid>
        <w:gridCol w:w="2870"/>
        <w:gridCol w:w="1647"/>
        <w:gridCol w:w="1700"/>
        <w:gridCol w:w="159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(R12) FE-IV, ln(value added)</w:t>
            </w:r>
          </w:p>
        </w:tc>
        <w:tc>
          <w:tcPr/>
          <w:p>
            <w:pPr>
              <w:pStyle w:val="Compact"/>
            </w:pPr>
            <w:r>
              <w:t xml:space="preserve">(R13) FE, 2yr moving-avg AIPI</w:t>
            </w:r>
          </w:p>
        </w:tc>
        <w:tc>
          <w:tcPr/>
          <w:p>
            <w:pPr>
              <w:pStyle w:val="Compact"/>
            </w:pPr>
            <w:r>
              <w:t xml:space="preserve">(R14) FE, AIPI x year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  <w:r>
              <w:t xml:space="preserve">0.0079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(0.0321)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1.0392***</w:t>
            </w:r>
          </w:p>
        </w:tc>
        <w:tc>
          <w:tcPr/>
          <w:p>
            <w:pPr>
              <w:pStyle w:val="Compact"/>
            </w:pPr>
            <w:r>
              <w:t xml:space="preserve">-0.2294*</w:t>
            </w:r>
          </w:p>
        </w:tc>
        <w:tc>
          <w:tcPr/>
          <w:p>
            <w:pPr>
              <w:pStyle w:val="Compact"/>
            </w:pPr>
            <w:r>
              <w:t xml:space="preserve">-0.2496*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(0.1971)</w:t>
            </w:r>
          </w:p>
        </w:tc>
        <w:tc>
          <w:tcPr/>
          <w:p>
            <w:pPr>
              <w:pStyle w:val="Compact"/>
            </w:pPr>
            <w:r>
              <w:t xml:space="preserve">(0.1324)</w:t>
            </w:r>
          </w:p>
        </w:tc>
        <w:tc>
          <w:tcPr/>
          <w:p>
            <w:pPr>
              <w:pStyle w:val="Compact"/>
            </w:pPr>
            <w:r>
              <w:t xml:space="preserve">(0.1343)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-0.0044</w:t>
            </w:r>
          </w:p>
        </w:tc>
        <w:tc>
          <w:tcPr/>
          <w:p>
            <w:pPr>
              <w:pStyle w:val="Compact"/>
            </w:pPr>
            <w:r>
              <w:t xml:space="preserve">0.0031</w:t>
            </w:r>
          </w:p>
        </w:tc>
        <w:tc>
          <w:tcPr/>
          <w:p>
            <w:pPr>
              <w:pStyle w:val="Compact"/>
            </w:pPr>
            <w:r>
              <w:t xml:space="preserve">0.0023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(0.0046)</w:t>
            </w: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-0.5491***</w:t>
            </w:r>
          </w:p>
        </w:tc>
        <w:tc>
          <w:tcPr/>
          <w:p>
            <w:pPr>
              <w:pStyle w:val="Compact"/>
            </w:pPr>
            <w:r>
              <w:t xml:space="preserve">0.6848***</w:t>
            </w:r>
          </w:p>
        </w:tc>
        <w:tc>
          <w:tcPr/>
          <w:p>
            <w:pPr>
              <w:pStyle w:val="Compact"/>
            </w:pPr>
            <w:r>
              <w:t xml:space="preserve">0.6629***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(0.1461)</w:t>
            </w:r>
          </w:p>
        </w:tc>
        <w:tc>
          <w:tcPr/>
          <w:p>
            <w:pPr>
              <w:pStyle w:val="Compact"/>
            </w:pPr>
            <w:r>
              <w:t xml:space="preserve">(0.1360)</w:t>
            </w:r>
          </w:p>
        </w:tc>
        <w:tc>
          <w:tcPr/>
          <w:p>
            <w:pPr>
              <w:pStyle w:val="Compact"/>
            </w:pPr>
            <w:r>
              <w:t xml:space="preserve">(0.1390)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-0.0323</w:t>
            </w:r>
          </w:p>
        </w:tc>
        <w:tc>
          <w:tcPr/>
          <w:p>
            <w:pPr>
              <w:pStyle w:val="Compact"/>
            </w:pPr>
            <w:r>
              <w:t xml:space="preserve">0.0414*</w:t>
            </w:r>
          </w:p>
        </w:tc>
        <w:tc>
          <w:tcPr/>
          <w:p>
            <w:pPr>
              <w:pStyle w:val="Compact"/>
            </w:pPr>
            <w:r>
              <w:t xml:space="preserve">0.0455**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(0.0275)</w:t>
            </w:r>
          </w:p>
        </w:tc>
        <w:tc>
          <w:tcPr/>
          <w:p>
            <w:pPr>
              <w:pStyle w:val="Compact"/>
            </w:pPr>
            <w:r>
              <w:t xml:space="preserve">(0.0228)</w:t>
            </w:r>
          </w:p>
        </w:tc>
        <w:tc>
          <w:tcPr/>
          <w:p>
            <w:pPr>
              <w:pStyle w:val="Compact"/>
            </w:pPr>
            <w:r>
              <w:t xml:space="preserve">(0.0221)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-0.0021*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(0.0011)</w:t>
            </w:r>
          </w:p>
        </w:tc>
        <w:tc>
          <w:tcPr/>
          <w:p>
            <w:pPr>
              <w:pStyle w:val="Compact"/>
            </w:pPr>
            <w:r>
              <w:t xml:space="preserve">(0.0008)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-0.0062*</w:t>
            </w:r>
          </w:p>
        </w:tc>
        <w:tc>
          <w:tcPr/>
          <w:p>
            <w:pPr>
              <w:pStyle w:val="Compact"/>
            </w:pPr>
            <w:r>
              <w:t xml:space="preserve">0.0016</w:t>
            </w:r>
          </w:p>
        </w:tc>
        <w:tc>
          <w:tcPr/>
          <w:p>
            <w:pPr>
              <w:pStyle w:val="Compact"/>
            </w:pPr>
            <w:r>
              <w:t xml:space="preserve">0.0013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(0.0036)</w:t>
            </w: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2-yr moving avg)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AIPI x (year - 2010)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2880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0.221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0.163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R12: FE-IV on ln(value added) (VALU) - third leg of the wage/employment/value-added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accounting decomposition of ln(labor share); see STEP 10d log for the identity check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against Table 12 (employment) and Table 15 col (R10) (wage).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R13: FE with AIPI averaged over the current and prior year (gradual technology absorption),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as an alternative to the single-period lag in Table 15 col (R8).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R14: FE with AIPI x linear year trend (year - 2010), a smooth alternative to the hard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Post-2018 break tested in Table 15 col (R9).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2026-07-14T10:34:20Z</dcterms:created>
  <dcterms:modified xsi:type="dcterms:W3CDTF">2026-07-14T10:34:20Z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