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17. Channel Decomposition (FE-IV)</w:t>
      </w:r>
    </w:p>
    <w:tbl>
      <w:tblPr>
        <w:tblStyle w:val="Table"/>
        <w:tblW w:type="pct" w:w="4909"/>
        <w:tblLayout w:type="fixed"/>
        <w:tblLook w:firstRow="1" w:lastRow="1" w:firstColumn="0" w:lastColumn="0" w:noHBand="0" w:noVBand="0" w:val="0020"/>
        <w:tblCaption w:val="Table 17. Channel Decomposition (FE-IV)"/>
      </w:tblPr>
      <w:tblGrid>
        <w:gridCol w:w="3888"/>
        <w:gridCol w:w="1224"/>
        <w:gridCol w:w="1368"/>
        <w:gridCol w:w="129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Employment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Average wage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Value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</w:t>
            </w:r>
          </w:p>
        </w:tc>
        <w:tc>
          <w:tcPr/>
          <w:p>
            <w:pPr>
              <w:pStyle w:val="Compact"/>
            </w:pPr>
            <w:r>
              <w:t xml:space="preserve">0.0899***</w:t>
            </w:r>
          </w:p>
        </w:tc>
        <w:tc>
          <w:tcPr/>
          <w:p>
            <w:pPr>
              <w:pStyle w:val="Compact"/>
            </w:pPr>
            <w:r>
              <w:t xml:space="preserve">-0.0706***</w:t>
            </w:r>
          </w:p>
        </w:tc>
        <w:tc>
          <w:tcPr/>
          <w:p>
            <w:pPr>
              <w:pStyle w:val="Compact"/>
            </w:pPr>
            <w:r>
              <w:t xml:space="preserve">0.0079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(0.0226)</w:t>
            </w:r>
          </w:p>
        </w:tc>
        <w:tc>
          <w:tcPr/>
          <w:p>
            <w:pPr>
              <w:pStyle w:val="Compact"/>
            </w:pPr>
            <w:r>
              <w:t xml:space="preserve">(0.0226)</w:t>
            </w:r>
          </w:p>
        </w:tc>
        <w:tc>
          <w:tcPr/>
          <w:p>
            <w:pPr>
              <w:pStyle w:val="Compact"/>
            </w:pPr>
            <w:r>
              <w:t xml:space="preserve">(0.0321)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0.3410***</w:t>
            </w:r>
          </w:p>
        </w:tc>
        <w:tc>
          <w:tcPr/>
          <w:p>
            <w:pPr>
              <w:pStyle w:val="Compact"/>
            </w:pPr>
            <w:r>
              <w:t xml:space="preserve">0.4606***</w:t>
            </w:r>
          </w:p>
        </w:tc>
        <w:tc>
          <w:tcPr/>
          <w:p>
            <w:pPr>
              <w:pStyle w:val="Compact"/>
            </w:pPr>
            <w:r>
              <w:t xml:space="preserve">1.0392***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(0.0767)</w:t>
            </w:r>
          </w:p>
        </w:tc>
        <w:tc>
          <w:tcPr/>
          <w:p>
            <w:pPr>
              <w:pStyle w:val="Compact"/>
            </w:pPr>
            <w:r>
              <w:t xml:space="preserve">(0.0905)</w:t>
            </w:r>
          </w:p>
        </w:tc>
        <w:tc>
          <w:tcPr/>
          <w:p>
            <w:pPr>
              <w:pStyle w:val="Compact"/>
            </w:pPr>
            <w:r>
              <w:t xml:space="preserve">(0.1971)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-0.0019</w:t>
            </w:r>
          </w:p>
        </w:tc>
        <w:tc>
          <w:tcPr/>
          <w:p>
            <w:pPr>
              <w:pStyle w:val="Compact"/>
            </w:pPr>
            <w:r>
              <w:t xml:space="preserve">-0.0044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(0.0020)</w:t>
            </w:r>
          </w:p>
        </w:tc>
        <w:tc>
          <w:tcPr/>
          <w:p>
            <w:pPr>
              <w:pStyle w:val="Compact"/>
            </w:pPr>
            <w:r>
              <w:t xml:space="preserve">(0.0017)</w:t>
            </w:r>
          </w:p>
        </w:tc>
        <w:tc>
          <w:tcPr/>
          <w:p>
            <w:pPr>
              <w:pStyle w:val="Compact"/>
            </w:pPr>
            <w:r>
              <w:t xml:space="preserve">(0.0046)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0.0055</w:t>
            </w:r>
          </w:p>
        </w:tc>
        <w:tc>
          <w:tcPr/>
          <w:p>
            <w:pPr>
              <w:pStyle w:val="Compact"/>
            </w:pPr>
            <w:r>
              <w:t xml:space="preserve">0.1009***</w:t>
            </w:r>
          </w:p>
        </w:tc>
        <w:tc>
          <w:tcPr/>
          <w:p>
            <w:pPr>
              <w:pStyle w:val="Compact"/>
            </w:pPr>
            <w:r>
              <w:t xml:space="preserve">-0.5491***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(0.0373)</w:t>
            </w:r>
          </w:p>
        </w:tc>
        <w:tc>
          <w:tcPr/>
          <w:p>
            <w:pPr>
              <w:pStyle w:val="Compact"/>
            </w:pPr>
            <w:r>
              <w:t xml:space="preserve">(0.0359)</w:t>
            </w:r>
          </w:p>
        </w:tc>
        <w:tc>
          <w:tcPr/>
          <w:p>
            <w:pPr>
              <w:pStyle w:val="Compact"/>
            </w:pPr>
            <w:r>
              <w:t xml:space="preserve">(0.1461)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-0.0310*</w:t>
            </w:r>
          </w:p>
        </w:tc>
        <w:tc>
          <w:tcPr/>
          <w:p>
            <w:pPr>
              <w:pStyle w:val="Compact"/>
            </w:pPr>
            <w:r>
              <w:t xml:space="preserve">0.0384***</w:t>
            </w:r>
          </w:p>
        </w:tc>
        <w:tc>
          <w:tcPr/>
          <w:p>
            <w:pPr>
              <w:pStyle w:val="Compact"/>
            </w:pPr>
            <w:r>
              <w:t xml:space="preserve">-0.0323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(0.0181)</w:t>
            </w:r>
          </w:p>
        </w:tc>
        <w:tc>
          <w:tcPr/>
          <w:p>
            <w:pPr>
              <w:pStyle w:val="Compact"/>
            </w:pPr>
            <w:r>
              <w:t xml:space="preserve">(0.0146)</w:t>
            </w:r>
          </w:p>
        </w:tc>
        <w:tc>
          <w:tcPr/>
          <w:p>
            <w:pPr>
              <w:pStyle w:val="Compact"/>
            </w:pPr>
            <w:r>
              <w:t xml:space="preserve">(0.0275)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-0.0032***</w:t>
            </w:r>
          </w:p>
        </w:tc>
        <w:tc>
          <w:tcPr/>
          <w:p>
            <w:pPr>
              <w:pStyle w:val="Compact"/>
            </w:pPr>
            <w:r>
              <w:t xml:space="preserve">-0.0021*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(0.0004)</w:t>
            </w:r>
          </w:p>
        </w:tc>
        <w:tc>
          <w:tcPr/>
          <w:p>
            <w:pPr>
              <w:pStyle w:val="Compact"/>
            </w:pPr>
            <w:r>
              <w:t xml:space="preserve">(0.0004)</w:t>
            </w:r>
          </w:p>
        </w:tc>
        <w:tc>
          <w:tcPr/>
          <w:p>
            <w:pPr>
              <w:pStyle w:val="Compact"/>
            </w:pPr>
            <w:r>
              <w:t xml:space="preserve">(0.0011)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0.0012</w:t>
            </w:r>
          </w:p>
        </w:tc>
        <w:tc>
          <w:tcPr/>
          <w:p>
            <w:pPr>
              <w:pStyle w:val="Compact"/>
            </w:pPr>
            <w:r>
              <w:t xml:space="preserve">-0.0050*</w:t>
            </w:r>
          </w:p>
        </w:tc>
        <w:tc>
          <w:tcPr/>
          <w:p>
            <w:pPr>
              <w:pStyle w:val="Compact"/>
            </w:pPr>
            <w:r>
              <w:t xml:space="preserve">-0.0062*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(0.0030)</w:t>
            </w:r>
          </w:p>
        </w:tc>
        <w:tc>
          <w:tcPr/>
          <w:p>
            <w:pPr>
              <w:pStyle w:val="Compact"/>
            </w:pPr>
            <w:r>
              <w:t xml:space="preserve">(0.0028)</w:t>
            </w:r>
          </w:p>
        </w:tc>
        <w:tc>
          <w:tcPr/>
          <w:p>
            <w:pPr>
              <w:pStyle w:val="Compact"/>
            </w:pPr>
            <w:r>
              <w:t xml:space="preserve">(0.0036)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  <w:tc>
          <w:tcPr/>
          <w:p>
            <w:pPr>
              <w:pStyle w:val="Compact"/>
            </w:pPr>
            <w:r>
              <w:t xml:space="preserve">0.205</w:t>
            </w:r>
          </w:p>
        </w:tc>
        <w:tc>
          <w:tcPr/>
          <w:p>
            <w:pPr>
              <w:pStyle w:val="Compact"/>
            </w:pPr>
            <w:r>
              <w:t xml:space="preserve">0.221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0.203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Dependent variables: (a) ln(Total employment, EMPN); (b) ln(Average wage, LABR/EMPN);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ln(Value added, VALU). Same FE-IV specification and instrument (AIPI_bartik) as the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main labor-share result (Table 9, col 3).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t xml:space="preserve">Algebraic identity: ln(labor share) = ln(avg. wage)</w:t>
            </w:r>
          </w:p>
        </w:tc>
        <w:tc>
          <w:tcPr>
            <w:gridSpan w:val="3"/>
            <w:vMerge w:val="restart"/>
          </w:tcPr>
          <w:p>
            <w:pPr>
              <w:pStyle w:val="Compact"/>
            </w:pPr>
            <w:r>
              <w:t xml:space="preserve">ln(employment) - ln(value added).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3"/>
            <w:vMerge w:val="continue"/>
          </w:tcPr>
          <w:p>
            <w:pPr/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See Table 18 for the accounting-identity check linking these three coefficients back to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the main labor-share result: AI raises employment and value added, but lowers average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wages more than proportionally to the employment gain, leaving the net labor-share effect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statistically indistinguishable from zero.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2026-07-14T10:34:20Z</dcterms:created>
  <dcterms:modified xsi:type="dcterms:W3CDTF">2026-07-14T10:34:20Z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