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17. Channel Decomposition (FE-IV)</w:t>
      </w:r>
    </w:p>
    <w:tbl>
      <w:tblPr>
        <w:tblStyle w:val="Table"/>
        <w:tblW w:type="pct" w:w="4909"/>
        <w:tblLayout w:type="fixed"/>
        <w:tblLook w:firstRow="1" w:lastRow="1" w:firstColumn="0" w:lastColumn="0" w:noHBand="0" w:noVBand="0" w:val="0020"/>
        <w:tblCaption w:val="Table 17. Channel Decomposition (FE-IV)"/>
      </w:tblPr>
      <w:tblGrid>
        <w:gridCol w:w="3888"/>
        <w:gridCol w:w="1224"/>
        <w:gridCol w:w="1368"/>
        <w:gridCol w:w="129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Employment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Average wage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Value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0.0899***</w:t>
            </w:r>
          </w:p>
        </w:tc>
        <w:tc>
          <w:tcPr/>
          <w:p>
            <w:pPr>
              <w:pStyle w:val="Compact"/>
            </w:pPr>
            <w:r>
              <w:t xml:space="preserve">-0.0706***</w:t>
            </w:r>
          </w:p>
        </w:tc>
        <w:tc>
          <w:tcPr/>
          <w:p>
            <w:pPr>
              <w:pStyle w:val="Compact"/>
            </w:pPr>
            <w:r>
              <w:t xml:space="preserve">0.0079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(0.0226)</w:t>
            </w:r>
          </w:p>
        </w:tc>
        <w:tc>
          <w:tcPr/>
          <w:p>
            <w:pPr>
              <w:pStyle w:val="Compact"/>
            </w:pPr>
            <w:r>
              <w:t xml:space="preserve">(0.0226)</w:t>
            </w:r>
          </w:p>
        </w:tc>
        <w:tc>
          <w:tcPr/>
          <w:p>
            <w:pPr>
              <w:pStyle w:val="Compact"/>
            </w:pPr>
            <w:r>
              <w:t xml:space="preserve">(0.0321)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0.3410***</w:t>
            </w:r>
          </w:p>
        </w:tc>
        <w:tc>
          <w:tcPr/>
          <w:p>
            <w:pPr>
              <w:pStyle w:val="Compact"/>
            </w:pPr>
            <w:r>
              <w:t xml:space="preserve">0.4606***</w:t>
            </w:r>
          </w:p>
        </w:tc>
        <w:tc>
          <w:tcPr/>
          <w:p>
            <w:pPr>
              <w:pStyle w:val="Compact"/>
            </w:pPr>
            <w:r>
              <w:t xml:space="preserve">1.0392***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(0.0767)</w:t>
            </w:r>
          </w:p>
        </w:tc>
        <w:tc>
          <w:tcPr/>
          <w:p>
            <w:pPr>
              <w:pStyle w:val="Compact"/>
            </w:pPr>
            <w:r>
              <w:t xml:space="preserve">(0.0905)</w:t>
            </w:r>
          </w:p>
        </w:tc>
        <w:tc>
          <w:tcPr/>
          <w:p>
            <w:pPr>
              <w:pStyle w:val="Compact"/>
            </w:pPr>
            <w:r>
              <w:t xml:space="preserve">(0.1971)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-0.0019</w:t>
            </w:r>
          </w:p>
        </w:tc>
        <w:tc>
          <w:tcPr/>
          <w:p>
            <w:pPr>
              <w:pStyle w:val="Compact"/>
            </w:pPr>
            <w:r>
              <w:t xml:space="preserve">-0.0044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(0.0020)</w:t>
            </w:r>
          </w:p>
        </w:tc>
        <w:tc>
          <w:tcPr/>
          <w:p>
            <w:pPr>
              <w:pStyle w:val="Compact"/>
            </w:pPr>
            <w:r>
              <w:t xml:space="preserve">(0.0017)</w:t>
            </w:r>
          </w:p>
        </w:tc>
        <w:tc>
          <w:tcPr/>
          <w:p>
            <w:pPr>
              <w:pStyle w:val="Compact"/>
            </w:pPr>
            <w:r>
              <w:t xml:space="preserve">(0.0046)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0.0055</w:t>
            </w:r>
          </w:p>
        </w:tc>
        <w:tc>
          <w:tcPr/>
          <w:p>
            <w:pPr>
              <w:pStyle w:val="Compact"/>
            </w:pPr>
            <w:r>
              <w:t xml:space="preserve">0.1009***</w:t>
            </w:r>
          </w:p>
        </w:tc>
        <w:tc>
          <w:tcPr/>
          <w:p>
            <w:pPr>
              <w:pStyle w:val="Compact"/>
            </w:pPr>
            <w:r>
              <w:t xml:space="preserve">-0.5491***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(0.0373)</w:t>
            </w:r>
          </w:p>
        </w:tc>
        <w:tc>
          <w:tcPr/>
          <w:p>
            <w:pPr>
              <w:pStyle w:val="Compact"/>
            </w:pPr>
            <w:r>
              <w:t xml:space="preserve">(0.0359)</w:t>
            </w:r>
          </w:p>
        </w:tc>
        <w:tc>
          <w:tcPr/>
          <w:p>
            <w:pPr>
              <w:pStyle w:val="Compact"/>
            </w:pPr>
            <w:r>
              <w:t xml:space="preserve">(0.1461)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-0.0310*</w:t>
            </w:r>
          </w:p>
        </w:tc>
        <w:tc>
          <w:tcPr/>
          <w:p>
            <w:pPr>
              <w:pStyle w:val="Compact"/>
            </w:pPr>
            <w:r>
              <w:t xml:space="preserve">0.0384***</w:t>
            </w:r>
          </w:p>
        </w:tc>
        <w:tc>
          <w:tcPr/>
          <w:p>
            <w:pPr>
              <w:pStyle w:val="Compact"/>
            </w:pPr>
            <w:r>
              <w:t xml:space="preserve">-0.0323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(0.0181)</w:t>
            </w:r>
          </w:p>
        </w:tc>
        <w:tc>
          <w:tcPr/>
          <w:p>
            <w:pPr>
              <w:pStyle w:val="Compact"/>
            </w:pPr>
            <w:r>
              <w:t xml:space="preserve">(0.0146)</w:t>
            </w:r>
          </w:p>
        </w:tc>
        <w:tc>
          <w:tcPr/>
          <w:p>
            <w:pPr>
              <w:pStyle w:val="Compact"/>
            </w:pPr>
            <w:r>
              <w:t xml:space="preserve">(0.0275)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-0.0032***</w:t>
            </w:r>
          </w:p>
        </w:tc>
        <w:tc>
          <w:tcPr/>
          <w:p>
            <w:pPr>
              <w:pStyle w:val="Compact"/>
            </w:pPr>
            <w:r>
              <w:t xml:space="preserve">-0.0021*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(0.0004)</w:t>
            </w:r>
          </w:p>
        </w:tc>
        <w:tc>
          <w:tcPr/>
          <w:p>
            <w:pPr>
              <w:pStyle w:val="Compact"/>
            </w:pPr>
            <w:r>
              <w:t xml:space="preserve">(0.0004)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0.0012</w:t>
            </w:r>
          </w:p>
        </w:tc>
        <w:tc>
          <w:tcPr/>
          <w:p>
            <w:pPr>
              <w:pStyle w:val="Compact"/>
            </w:pPr>
            <w:r>
              <w:t xml:space="preserve">-0.0050*</w:t>
            </w:r>
          </w:p>
        </w:tc>
        <w:tc>
          <w:tcPr/>
          <w:p>
            <w:pPr>
              <w:pStyle w:val="Compact"/>
            </w:pPr>
            <w:r>
              <w:t xml:space="preserve">-0.0062*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(0.0028)</w:t>
            </w: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Dependent variables: (a) ln(Total employment, EMPN); (b) ln(Average wage, LABR/EMPN);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ln(Value added, VALU). Same FE-IV specification and instrument (AIPI_bartik) as the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main labor-share result (Table 9, col 3).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Algebraic identity: ln(labor share) = ln(avg. wage)</w:t>
            </w:r>
          </w:p>
        </w:tc>
        <w:tc>
          <w:tcPr>
            <w:gridSpan w:val="3"/>
            <w:vMerge w:val="restart"/>
          </w:tcPr>
          <w:p>
            <w:pPr>
              <w:pStyle w:val="Compact"/>
            </w:pPr>
            <w:r>
              <w:t xml:space="preserve">ln(employment) - ln(value added).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See Table 18 for the accounting-identity check linking these three coefficients back to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the main labor-share result: AI raises employment and value added, but lowers average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wages more than proportionally to the employment gain, leaving the net labor-share effect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statistically indistinguishable from zero.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2026-07-22T06:29:44Z</dcterms:created>
  <dcterms:modified xsi:type="dcterms:W3CDTF">2026-07-22T06:29:44Z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