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18. Accounting Identity Check</w:t>
      </w:r>
    </w:p>
    <w:tbl>
      <w:tblPr>
        <w:tblStyle w:val="Table"/>
        <w:tblW w:type="pct" w:w="4583"/>
        <w:tblLayout w:type="fixed"/>
        <w:tblLook w:firstRow="1" w:lastRow="1" w:firstColumn="0" w:lastColumn="0" w:noHBand="0" w:noVBand="0" w:val="0020"/>
        <w:tblCaption w:val="Table 18. Accounting Identity Check"/>
      </w:tblPr>
      <w:tblGrid>
        <w:gridCol w:w="627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beta(wage) + beta(employment) - beta(value added)</w:t>
            </w: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beta(labor share), directly estimated (Table 9, col 3)</w:t>
            </w: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Identity holds exactly (gap = 0) because all three mechanism</w:t>
            </w:r>
            <w:r>
              <w:t xml:space="preserve"> </w:t>
            </w:r>
            <w:r>
              <w:t xml:space="preserve">models (Table 17) share the identical estimation sample,</w:t>
            </w:r>
            <w:r>
              <w:t xml:space="preserve"> </w:t>
            </w:r>
            <w:r>
              <w:t xml:space="preserve">first-stage fit and clustering as the main FE-IV labor-share</w:t>
            </w:r>
            <w:r>
              <w:t xml:space="preserve"> </w:t>
            </w:r>
            <w:r>
              <w:t xml:space="preserve">model (Table 9, col 3).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2026-07-22T06:29:44Z</dcterms:created>
  <dcterms:modified xsi:type="dcterms:W3CDTF">2026-07-22T06:29:44Z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