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19. Additional Moderator Robustness (HighTrade/HighRD)</w:t>
      </w:r>
    </w:p>
    <w:tbl>
      <w:tblPr>
        <w:tblStyle w:val="Table"/>
        <w:tblW w:type="pct" w:w="4955"/>
        <w:tblLayout w:type="fixed"/>
        <w:tblLook w:firstRow="1" w:lastRow="1" w:firstColumn="0" w:lastColumn="0" w:noHBand="0" w:noVBand="0" w:val="0020"/>
        <w:tblCaption w:val="Table 19. Additional Moderator Robustness (HighTrade/HighRD)"/>
      </w:tblPr>
      <w:tblGrid>
        <w:gridCol w:w="3888"/>
        <w:gridCol w:w="2088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(R15) FE, AIPI x HighTrade</w:t>
            </w:r>
          </w:p>
        </w:tc>
        <w:tc>
          <w:tcPr/>
          <w:p>
            <w:pPr>
              <w:pStyle w:val="Compact"/>
            </w:pPr>
            <w:r>
              <w:t xml:space="preserve">(R16) FE, AIPI x HighRD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(ln)</w:t>
            </w:r>
          </w:p>
        </w:tc>
        <w:tc>
          <w:tcPr/>
          <w:p>
            <w:pPr>
              <w:pStyle w:val="Compact"/>
            </w:pPr>
            <w:r>
              <w:t xml:space="preserve">-0.0172</w:t>
            </w:r>
          </w:p>
        </w:tc>
        <w:tc>
          <w:tcPr/>
          <w:p>
            <w:pPr>
              <w:pStyle w:val="Compact"/>
            </w:pPr>
            <w:r>
              <w:t xml:space="preserve">-0.0180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(0.0153)</w:t>
            </w:r>
          </w:p>
        </w:tc>
        <w:tc>
          <w:tcPr/>
          <w:p>
            <w:pPr>
              <w:pStyle w:val="Compact"/>
            </w:pPr>
            <w:r>
              <w:t xml:space="preserve">(0.0202)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-0.2452*</w:t>
            </w:r>
          </w:p>
        </w:tc>
        <w:tc>
          <w:tcPr/>
          <w:p>
            <w:pPr>
              <w:pStyle w:val="Compact"/>
            </w:pPr>
            <w:r>
              <w:t xml:space="preserve">-0.2450*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(0.1334)</w:t>
            </w:r>
          </w:p>
        </w:tc>
        <w:tc>
          <w:tcPr/>
          <w:p>
            <w:pPr>
              <w:pStyle w:val="Compact"/>
            </w:pPr>
            <w:r>
              <w:t xml:space="preserve">(0.1327)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0.0024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(0.0041)</w:t>
            </w:r>
          </w:p>
        </w:tc>
        <w:tc>
          <w:tcPr/>
          <w:p>
            <w:pPr>
              <w:pStyle w:val="Compact"/>
            </w:pPr>
            <w:r>
              <w:t xml:space="preserve">(0.0042)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0.6626***</w:t>
            </w:r>
          </w:p>
        </w:tc>
        <w:tc>
          <w:tcPr/>
          <w:p>
            <w:pPr>
              <w:pStyle w:val="Compact"/>
            </w:pPr>
            <w:r>
              <w:t xml:space="preserve">0.6632***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(0.1384)</w:t>
            </w:r>
          </w:p>
        </w:tc>
        <w:tc>
          <w:tcPr/>
          <w:p>
            <w:pPr>
              <w:pStyle w:val="Compact"/>
            </w:pPr>
            <w:r>
              <w:t xml:space="preserve">(0.1386)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0.0451**</w:t>
            </w:r>
          </w:p>
        </w:tc>
        <w:tc>
          <w:tcPr/>
          <w:p>
            <w:pPr>
              <w:pStyle w:val="Compact"/>
            </w:pPr>
            <w:r>
              <w:t xml:space="preserve">0.0438**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(0.0221)</w:t>
            </w:r>
          </w:p>
        </w:tc>
        <w:tc>
          <w:tcPr/>
          <w:p>
            <w:pPr>
              <w:pStyle w:val="Compact"/>
            </w:pPr>
            <w:r>
              <w:t xml:space="preserve">(0.0215)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-0.0012</w:t>
            </w:r>
          </w:p>
        </w:tc>
        <w:tc>
          <w:tcPr/>
          <w:p>
            <w:pPr>
              <w:pStyle w:val="Compact"/>
            </w:pPr>
            <w:r>
              <w:t xml:space="preserve">-0.0012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0.0015</w:t>
            </w:r>
          </w:p>
        </w:tc>
        <w:tc>
          <w:tcPr/>
          <w:p>
            <w:pPr>
              <w:pStyle w:val="Compac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(0.0030)</w:t>
            </w:r>
          </w:p>
        </w:tc>
        <w:tc>
          <w:tcPr/>
          <w:p>
            <w:pPr>
              <w:pStyle w:val="Compact"/>
            </w:pPr>
            <w:r>
              <w:t xml:space="preserve">(0.0031)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AIPI x HighTrade</w:t>
            </w:r>
          </w:p>
        </w:tc>
        <w:tc>
          <w:tcPr/>
          <w:p>
            <w:pPr>
              <w:pStyle w:val="Compact"/>
            </w:pPr>
            <w:r>
              <w:t xml:space="preserve">0.0026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(0.0089)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AIPI x HighRD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R15/R16: rd and trade are already included as controls in every specification (Table 9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onward); here they are additionally tested as interacted moderators, complementing the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primary HighCapital/HighSkill moderators (Table 9/10).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HighTrade/HighRD = 1 if trade/rd &gt;= OECD panel-wide median (pooled across country-years;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these WDI series vary by country-year, not by industry, so a within-country split is not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meaningful here - see STEP 5b).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2026-07-14T10:34:21Z</dcterms:created>
  <dcterms:modified xsi:type="dcterms:W3CDTF">2026-07-14T10:34:21Z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