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19. Additional Moderator Robustness (HighTrade/HighRD)</w:t>
      </w:r>
    </w:p>
    <w:tbl>
      <w:tblPr>
        <w:tblStyle w:val="Table"/>
        <w:tblW w:type="pct" w:w="4955"/>
        <w:tblLayout w:type="fixed"/>
        <w:tblLook w:firstRow="1" w:lastRow="1" w:firstColumn="0" w:lastColumn="0" w:noHBand="0" w:noVBand="0" w:val="0020"/>
        <w:tblCaption w:val="Table 19. Additional Moderator Robustness (HighTrade/HighRD)"/>
      </w:tblPr>
      <w:tblGrid>
        <w:gridCol w:w="3888"/>
        <w:gridCol w:w="2088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(R15) FE, AIPI x HighTrade</w:t>
            </w:r>
          </w:p>
        </w:tc>
        <w:tc>
          <w:tcPr/>
          <w:p>
            <w:pPr>
              <w:pStyle w:val="Compact"/>
            </w:pPr>
            <w:r>
              <w:t xml:space="preserve">(R16) FE, AIPI x HighRD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-0.0172</w:t>
            </w:r>
          </w:p>
        </w:tc>
        <w:tc>
          <w:tcPr/>
          <w:p>
            <w:pPr>
              <w:pStyle w:val="Compact"/>
            </w:pPr>
            <w:r>
              <w:t xml:space="preserve">-0.0180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(0.0153)</w:t>
            </w:r>
          </w:p>
        </w:tc>
        <w:tc>
          <w:tcPr/>
          <w:p>
            <w:pPr>
              <w:pStyle w:val="Compact"/>
            </w:pPr>
            <w:r>
              <w:t xml:space="preserve">(0.0202)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-0.2452*</w:t>
            </w:r>
          </w:p>
        </w:tc>
        <w:tc>
          <w:tcPr/>
          <w:p>
            <w:pPr>
              <w:pStyle w:val="Compact"/>
            </w:pPr>
            <w:r>
              <w:t xml:space="preserve">-0.2450*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(0.1334)</w:t>
            </w:r>
          </w:p>
        </w:tc>
        <w:tc>
          <w:tcPr/>
          <w:p>
            <w:pPr>
              <w:pStyle w:val="Compact"/>
            </w:pPr>
            <w:r>
              <w:t xml:space="preserve">(0.1327)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0.6626***</w:t>
            </w:r>
          </w:p>
        </w:tc>
        <w:tc>
          <w:tcPr/>
          <w:p>
            <w:pPr>
              <w:pStyle w:val="Compact"/>
            </w:pPr>
            <w:r>
              <w:t xml:space="preserve">0.6632***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(0.1384)</w:t>
            </w:r>
          </w:p>
        </w:tc>
        <w:tc>
          <w:tcPr/>
          <w:p>
            <w:pPr>
              <w:pStyle w:val="Compact"/>
            </w:pPr>
            <w:r>
              <w:t xml:space="preserve">(0.1386)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0.0451**</w:t>
            </w:r>
          </w:p>
        </w:tc>
        <w:tc>
          <w:tcPr/>
          <w:p>
            <w:pPr>
              <w:pStyle w:val="Compact"/>
            </w:pPr>
            <w:r>
              <w:t xml:space="preserve">0.0438**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  <w:tc>
          <w:tcPr/>
          <w:p>
            <w:pPr>
              <w:pStyle w:val="Compact"/>
            </w:pPr>
            <w:r>
              <w:t xml:space="preserve">(0.0215)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AIPI x HighTrade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AIPI x HighRD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R15/R16: rd and trade are already included as controls in every specification (Table 9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onward); here they are additionally tested as interacted moderators, complementing the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primary HighCapital/HighSkill moderators (Table 9/10).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HighTrade/HighRD = 1 if trade/rd &gt;= OECD panel-wide median (pooled across country-years;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these WDI series vary by country-year, not by industry, so a within-country split is not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meaningful here - see STEP 5b).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2026-07-22T06:29:45Z</dcterms:created>
  <dcterms:modified xsi:type="dcterms:W3CDTF">2026-07-22T06:29:45Z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