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21. Descriptive Statistics: EM Panel (year &gt;= 2012, ISIC C and D_E)</w:t>
      </w:r>
    </w:p>
    <w:tbl>
      <w:tblPr>
        <w:tblStyle w:val="Table"/>
        <w:tblW w:type="pct" w:w="4811"/>
        <w:tblLayout w:type="fixed"/>
        <w:tblLook w:firstRow="1" w:lastRow="1" w:firstColumn="0" w:lastColumn="0" w:noHBand="0" w:noVBand="0" w:val="0020"/>
        <w:tblCaption w:val="Table 21. Descriptive Statistics: EM Panel (year &gt;= 2012, ISIC C and D_E)"/>
      </w:tblPr>
      <w:tblGrid>
        <w:gridCol w:w="4483"/>
        <w:gridCol w:w="672"/>
        <w:gridCol w:w="597"/>
        <w:gridCol w:w="597"/>
        <w:gridCol w:w="597"/>
        <w:gridCol w:w="6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EM (ln, industry-weighted AI patents)</w:t>
            </w:r>
          </w:p>
        </w:tc>
        <w:tc>
          <w:tcPr/>
          <w:p>
            <w:pPr>
              <w:pStyle w:val="Compact"/>
            </w:pPr>
            <w:r>
              <w:t xml:space="preserve">567.00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  <w:tc>
          <w:tcPr/>
          <w:p>
            <w:pPr>
              <w:pStyle w:val="Compact"/>
            </w:pPr>
            <w:r>
              <w:t xml:space="preserve">0.89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5.68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High-skill dummy EM (avg wage above EM-pooled median)</w:t>
            </w:r>
          </w:p>
        </w:tc>
        <w:tc>
          <w:tcPr/>
          <w:p>
            <w:pPr>
              <w:pStyle w:val="Compact"/>
            </w:pPr>
            <w:r>
              <w:t xml:space="preserve">537.00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per capita (ln, constant 2015 USD)</w:t>
            </w:r>
          </w:p>
        </w:tc>
        <w:tc>
          <w:tcPr/>
          <w:p>
            <w:pPr>
              <w:pStyle w:val="Compact"/>
            </w:pPr>
            <w:r>
              <w:t xml:space="preserve">567.00</w:t>
            </w:r>
          </w:p>
        </w:tc>
        <w:tc>
          <w:tcPr/>
          <w:p>
            <w:pPr>
              <w:pStyle w:val="Compact"/>
            </w:pPr>
            <w:r>
              <w:t xml:space="preserve">8.74</w:t>
            </w:r>
          </w:p>
        </w:tc>
        <w:tc>
          <w:tcPr/>
          <w:p>
            <w:pPr>
              <w:pStyle w:val="Compact"/>
            </w:pPr>
            <w:r>
              <w:t xml:space="preserve">0.78</w:t>
            </w:r>
          </w:p>
        </w:tc>
        <w:tc>
          <w:tcPr/>
          <w:p>
            <w:pPr>
              <w:pStyle w:val="Compact"/>
            </w:pPr>
            <w:r>
              <w:t xml:space="preserve">7.20</w:t>
            </w:r>
          </w:p>
        </w:tc>
        <w:tc>
          <w:tcPr/>
          <w:p>
            <w:pPr>
              <w:pStyle w:val="Compact"/>
            </w:pPr>
            <w:r>
              <w:t xml:space="preserve">10.72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Labor income share EM (ln, Wages / Value added)</w:t>
            </w:r>
          </w:p>
        </w:tc>
        <w:tc>
          <w:tcPr/>
          <w:p>
            <w:pPr>
              <w:pStyle w:val="Compact"/>
            </w:pPr>
            <w:r>
              <w:t xml:space="preserve">567.00</w:t>
            </w:r>
          </w:p>
        </w:tc>
        <w:tc>
          <w:tcPr/>
          <w:p>
            <w:pPr>
              <w:pStyle w:val="Compact"/>
            </w:pPr>
            <w:r>
              <w:t xml:space="preserve">-1.28</w:t>
            </w:r>
          </w:p>
        </w:tc>
        <w:tc>
          <w:tcPr/>
          <w:p>
            <w:pPr>
              <w:pStyle w:val="Compact"/>
            </w:pPr>
            <w:r>
              <w:t xml:space="preserve">0.65</w:t>
            </w:r>
          </w:p>
        </w:tc>
        <w:tc>
          <w:tcPr/>
          <w:p>
            <w:pPr>
              <w:pStyle w:val="Compact"/>
            </w:pPr>
            <w:r>
              <w:t xml:space="preserve">-3.88</w:t>
            </w:r>
          </w:p>
        </w:tc>
        <w:tc>
          <w:tcPr/>
          <w:p>
            <w:pPr>
              <w:pStyle w:val="Compact"/>
            </w:pPr>
            <w:r>
              <w:t xml:space="preserve">4.16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 expenditure (% of GDP)</w:t>
            </w:r>
          </w:p>
        </w:tc>
        <w:tc>
          <w:tcPr/>
          <w:p>
            <w:pPr>
              <w:pStyle w:val="Compact"/>
            </w:pPr>
            <w:r>
              <w:t xml:space="preserve">538.00</w:t>
            </w:r>
          </w:p>
        </w:tc>
        <w:tc>
          <w:tcPr/>
          <w:p>
            <w:pPr>
              <w:pStyle w:val="Compact"/>
            </w:pPr>
            <w:r>
              <w:t xml:space="preserve">0.49</w:t>
            </w:r>
          </w:p>
        </w:tc>
        <w:tc>
          <w:tcPr/>
          <w:p>
            <w:pPr>
              <w:pStyle w:val="Compact"/>
            </w:pPr>
            <w:r>
              <w:t xml:space="preserve">0.32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1.50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 total final energy)</w:t>
            </w:r>
          </w:p>
        </w:tc>
        <w:tc>
          <w:tcPr/>
          <w:p>
            <w:pPr>
              <w:pStyle w:val="Compact"/>
            </w:pPr>
            <w:r>
              <w:t xml:space="preserve">567.00</w:t>
            </w:r>
          </w:p>
        </w:tc>
        <w:tc>
          <w:tcPr/>
          <w:p>
            <w:pPr>
              <w:pStyle w:val="Compact"/>
            </w:pPr>
            <w:r>
              <w:t xml:space="preserve">19.21</w:t>
            </w:r>
          </w:p>
        </w:tc>
        <w:tc>
          <w:tcPr/>
          <w:p>
            <w:pPr>
              <w:pStyle w:val="Compact"/>
            </w:pPr>
            <w:r>
              <w:t xml:space="preserve">17.44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82.00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openness (% of GDP)</w:t>
            </w:r>
          </w:p>
        </w:tc>
        <w:tc>
          <w:tcPr/>
          <w:p>
            <w:pPr>
              <w:pStyle w:val="Compact"/>
            </w:pPr>
            <w:r>
              <w:t xml:space="preserve">563.00</w:t>
            </w:r>
          </w:p>
        </w:tc>
        <w:tc>
          <w:tcPr/>
          <w:p>
            <w:pPr>
              <w:pStyle w:val="Compact"/>
            </w:pPr>
            <w:r>
              <w:t xml:space="preserve">85.92</w:t>
            </w:r>
          </w:p>
        </w:tc>
        <w:tc>
          <w:tcPr/>
          <w:p>
            <w:pPr>
              <w:pStyle w:val="Compact"/>
            </w:pPr>
            <w:r>
              <w:t xml:space="preserve">43.51</w:t>
            </w:r>
          </w:p>
        </w:tc>
        <w:tc>
          <w:tcPr/>
          <w:p>
            <w:pPr>
              <w:pStyle w:val="Compact"/>
            </w:pPr>
            <w:r>
              <w:t xml:space="preserve">24.32</w:t>
            </w:r>
          </w:p>
        </w:tc>
        <w:tc>
          <w:tcPr/>
          <w:p>
            <w:pPr>
              <w:pStyle w:val="Compact"/>
            </w:pPr>
            <w:r>
              <w:t xml:space="preserve">245.16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quality (WGI composite, 6-dim. average)</w:t>
            </w:r>
          </w:p>
        </w:tc>
        <w:tc>
          <w:tcPr/>
          <w:p>
            <w:pPr>
              <w:pStyle w:val="Compact"/>
            </w:pPr>
            <w:r>
              <w:t xml:space="preserve">567.00</w:t>
            </w:r>
          </w:p>
        </w:tc>
        <w:tc>
          <w:tcPr/>
          <w:p>
            <w:pPr>
              <w:pStyle w:val="Compact"/>
            </w:pPr>
            <w:r>
              <w:t xml:space="preserve">-0.14</w:t>
            </w:r>
          </w:p>
        </w:tc>
        <w:tc>
          <w:tcPr/>
          <w:p>
            <w:pPr>
              <w:pStyle w:val="Compact"/>
            </w:pPr>
            <w:r>
              <w:t xml:space="preserve">0.52</w:t>
            </w:r>
          </w:p>
        </w:tc>
        <w:tc>
          <w:tcPr/>
          <w:p>
            <w:pPr>
              <w:pStyle w:val="Compact"/>
            </w:pPr>
            <w:r>
              <w:t xml:space="preserve">-1.41</w:t>
            </w:r>
          </w:p>
        </w:tc>
        <w:tc>
          <w:tcPr/>
          <w:p>
            <w:pPr>
              <w:pStyle w:val="Compact"/>
            </w:pPr>
            <w:r>
              <w:t xml:space="preserve">1.12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Source: UNIDO INDSTAT4 (Value added, Wages and salaries, Employees), WDI, WGI, OECD AI Patents</w:t>
            </w:r>
            <w:r>
              <w:t xml:space="preserve"> </w:t>
            </w:r>
            <w:r>
              <w:t xml:space="preserve">(EPO). EM sample: 39 countries (67 pairs) with non-missing AIPI_EM and positive wages/VA, ISIC C</w:t>
            </w:r>
            <w:r>
              <w:t xml:space="preserve"> </w:t>
            </w:r>
            <w:r>
              <w:t xml:space="preserve">and D_E only. labshare_em = Wages/VA (UNIDO wages exclude employer social contributions -&gt; level</w:t>
            </w:r>
            <w:r>
              <w:t xml:space="preserve"> </w:t>
            </w:r>
            <w:r>
              <w:t xml:space="preserve">not directly comparable to OECD LABR/VALU; within-pair variation used). HighSkill_EM threshold:</w:t>
            </w:r>
            <w:r>
              <w:t xml:space="preserve"> </w:t>
            </w:r>
            <w:r>
              <w:t xml:space="preserve">EM-pooled median of Wages/Employees.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2026-07-14T10:34:22Z</dcterms:created>
  <dcterms:modified xsi:type="dcterms:W3CDTF">2026-07-14T10:34:22Z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