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21. Descriptive Statistics: EM Panel (year &gt;= 2012, ISIC C and D_E)</w:t>
      </w:r>
    </w:p>
    <w:tbl>
      <w:tblPr>
        <w:tblStyle w:val="Table"/>
        <w:tblW w:type="pct" w:w="4811"/>
        <w:tblLayout w:type="fixed"/>
        <w:tblLook w:firstRow="1" w:lastRow="1" w:firstColumn="0" w:lastColumn="0" w:noHBand="0" w:noVBand="0" w:val="0020"/>
        <w:tblCaption w:val="Table 21. Descriptive Statistics: EM Panel (year &gt;= 2012, ISIC C and D_E)"/>
      </w:tblPr>
      <w:tblGrid>
        <w:gridCol w:w="4483"/>
        <w:gridCol w:w="672"/>
        <w:gridCol w:w="597"/>
        <w:gridCol w:w="597"/>
        <w:gridCol w:w="597"/>
        <w:gridCol w:w="6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EM (ln, industry-weighted AI patents)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0.89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High-skill dummy EM (avg wage above EM-pooled median)</w:t>
            </w:r>
          </w:p>
        </w:tc>
        <w:tc>
          <w:tcPr/>
          <w:p>
            <w:pPr>
              <w:pStyle w:val="Compact"/>
            </w:pPr>
            <w:r>
              <w:t xml:space="preserve">537.00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8.74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10.72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 income share EM (ln, Wages / Value added)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-1.28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-3.88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538.00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19.21</w:t>
            </w:r>
          </w:p>
        </w:tc>
        <w:tc>
          <w:tcPr/>
          <w:p>
            <w:pPr>
              <w:pStyle w:val="Compact"/>
            </w:pPr>
            <w:r>
              <w:t xml:space="preserve">17.44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82.00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563.00</w:t>
            </w:r>
          </w:p>
        </w:tc>
        <w:tc>
          <w:tcPr/>
          <w:p>
            <w:pPr>
              <w:pStyle w:val="Compact"/>
            </w:pPr>
            <w:r>
              <w:t xml:space="preserve">85.92</w:t>
            </w:r>
          </w:p>
        </w:tc>
        <w:tc>
          <w:tcPr/>
          <w:p>
            <w:pPr>
              <w:pStyle w:val="Compact"/>
            </w:pPr>
            <w:r>
              <w:t xml:space="preserve">43.51</w:t>
            </w:r>
          </w:p>
        </w:tc>
        <w:tc>
          <w:tcPr/>
          <w:p>
            <w:pPr>
              <w:pStyle w:val="Compact"/>
            </w:pPr>
            <w:r>
              <w:t xml:space="preserve">24.32</w:t>
            </w:r>
          </w:p>
        </w:tc>
        <w:tc>
          <w:tcPr/>
          <w:p>
            <w:pPr>
              <w:pStyle w:val="Compact"/>
            </w:pPr>
            <w:r>
              <w:t xml:space="preserve">245.16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composite, 6-dim. average)</w:t>
            </w:r>
          </w:p>
        </w:tc>
        <w:tc>
          <w:tcPr/>
          <w:p>
            <w:pPr>
              <w:pStyle w:val="Compact"/>
            </w:pPr>
            <w:r>
              <w:t xml:space="preserve">567.00</w:t>
            </w:r>
          </w:p>
        </w:tc>
        <w:tc>
          <w:tcPr/>
          <w:p>
            <w:pPr>
              <w:pStyle w:val="Compact"/>
            </w:pPr>
            <w:r>
              <w:t xml:space="preserve">-0.14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-1.41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Source: UNIDO INDSTAT4 (Value added, Wages and salaries, Employees), WDI, WGI, OECD AI Patents</w:t>
            </w:r>
            <w:r>
              <w:t xml:space="preserve"> </w:t>
            </w:r>
            <w:r>
              <w:t xml:space="preserve">(EPO). EM sample: 39 countries (67 pairs) with non-missing AIPI_EM and positive wages/VA, ISIC C</w:t>
            </w:r>
            <w:r>
              <w:t xml:space="preserve"> </w:t>
            </w:r>
            <w:r>
              <w:t xml:space="preserve">and D_E only. labshare_em = Wages/VA (UNIDO wages exclude employer social contributions -&gt; level</w:t>
            </w:r>
            <w:r>
              <w:t xml:space="preserve"> </w:t>
            </w:r>
            <w:r>
              <w:t xml:space="preserve">not directly comparable to OECD LABR/VALU; within-pair variation used). HighSkill_EM threshold:</w:t>
            </w:r>
            <w:r>
              <w:t xml:space="preserve"> </w:t>
            </w:r>
            <w:r>
              <w:t xml:space="preserve">EM-pooled median of Wages/Employees.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2026-07-22T06:29:45Z</dcterms:created>
  <dcterms:modified xsi:type="dcterms:W3CDTF">2026-07-22T06:29:45Z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