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22. Cross-Sample Comparison: AI Patent Intensity and the Labor Income Share (OECD vs EM)</w:t>
      </w:r>
    </w:p>
    <w:tbl>
      <w:tblPr>
        <w:tblStyle w:val="Table"/>
        <w:tblW w:type="pct" w:w="4921"/>
        <w:tblLayout w:type="fixed"/>
        <w:tblLook w:firstRow="1" w:lastRow="1" w:firstColumn="0" w:lastColumn="0" w:noHBand="0" w:noVBand="0" w:val="0020"/>
        <w:tblCaption w:val="Table 22. Cross-Sample Comparison: AI Patent Intensity and the Labor Income Share (OECD vs EM)"/>
      </w:tblPr>
      <w:tblGrid>
        <w:gridCol w:w="3055"/>
        <w:gridCol w:w="1496"/>
        <w:gridCol w:w="1559"/>
        <w:gridCol w:w="168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 OECD (AIPI)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FE-IV EM (AIPI_EM)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FE+HighSkill Int. 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[OECD]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x High-skill (EM)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-0.238*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-0.165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(0.135)</w:t>
            </w:r>
          </w:p>
        </w:tc>
        <w:tc>
          <w:tcPr/>
          <w:p>
            <w:pPr>
              <w:pStyle w:val="Compact"/>
            </w:pPr>
            <w:r>
              <w:t xml:space="preserve">(0.393)</w:t>
            </w:r>
          </w:p>
        </w:tc>
        <w:tc>
          <w:tcPr/>
          <w:p>
            <w:pPr>
              <w:pStyle w:val="Compact"/>
            </w:pPr>
            <w:r>
              <w:t xml:space="preserve">(0.286)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energy)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0.655***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0.040*</w:t>
            </w:r>
          </w:p>
        </w:tc>
        <w:tc>
          <w:tcPr/>
          <w:p>
            <w:pPr>
              <w:pStyle w:val="Compact"/>
            </w:pPr>
            <w:r>
              <w:t xml:space="preserve">-0.180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  <w:tc>
          <w:tcPr/>
          <w:p>
            <w:pPr>
              <w:pStyle w:val="Compact"/>
            </w:pPr>
            <w:r>
              <w:t xml:space="preserve">(0.228)</w:t>
            </w:r>
          </w:p>
        </w:tc>
        <w:tc>
          <w:tcPr/>
          <w:p>
            <w:pPr>
              <w:pStyle w:val="Compact"/>
            </w:pPr>
            <w:r>
              <w:t xml:space="preserve">(0.120)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-0.006**</w:t>
            </w:r>
          </w:p>
        </w:tc>
        <w:tc>
          <w:tcPr/>
          <w:p>
            <w:pPr>
              <w:pStyle w:val="Compact"/>
            </w:pPr>
            <w:r>
              <w:t xml:space="preserve">-0.007***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Governance quality (WGI 6-dim. composite)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(0.245)</w:t>
            </w:r>
          </w:p>
        </w:tc>
        <w:tc>
          <w:tcPr/>
          <w:p>
            <w:pPr>
              <w:pStyle w:val="Compact"/>
            </w:pPr>
            <w:r>
              <w:t xml:space="preserve">(0.218)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OECD: 25 countries, 10 A*10 industries, 2010-2022; Y = ln(LABR/VALU), STAN D1/B1G.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EM: 39 countries, ISIC C and D_E only, 2012-2022; Y = ln(Wages/VA), UNIDO INDSTAT4.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UNIDO wages exclude employer social contributions -&gt; EM labor-share LEVEL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understated vs STAN D1; only within-pair variation identifies beta1.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Both AIPI measures built from the same OECD AI Patents (EPO) source;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industry weights renormalized across all 10 A*10 groups (OECD) vs C/D_E (EM).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HighSkill_EM threshold: EM-pooled median of avg wage (Wages/Employees).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2026-07-14T10:34:32Z</dcterms:created>
  <dcterms:modified xsi:type="dcterms:W3CDTF">2026-07-14T10:34:32Z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