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23. ASEAN Spotlight: Does the AI-Labor-Share Relationship Differ in South-East Asia?</w:t>
      </w:r>
    </w:p>
    <w:tbl>
      <w:tblPr>
        <w:tblStyle w:val="Table"/>
        <w:tblW w:type="pct" w:w="4947"/>
        <w:tblLayout w:type="fixed"/>
        <w:tblLook w:firstRow="1" w:lastRow="1" w:firstColumn="0" w:lastColumn="0" w:noHBand="0" w:noVBand="0" w:val="0020"/>
        <w:tblCaption w:val="Table 23. ASEAN Spotlight: Does the AI-Labor-Share Relationship Differ in South-East Asia?"/>
      </w:tblPr>
      <w:tblGrid>
        <w:gridCol w:w="3001"/>
        <w:gridCol w:w="2167"/>
        <w:gridCol w:w="2667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FE-IV EM (baseline)</w:t>
            </w:r>
          </w:p>
        </w:tc>
        <w:tc>
          <w:tcPr/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FE EM + ASEAN 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IV) [EM]</w:t>
            </w:r>
          </w:p>
        </w:tc>
        <w:tc>
          <w:tcPr/>
          <w:p>
            <w:pPr>
              <w:pStyle w:val="Compact"/>
            </w:pPr>
            <w:r>
              <w:t xml:space="preserve">0.455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(0.339)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Patent Intensity (ln) [EM]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0.062*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x ASEAN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-0.102**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per capita (ln)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  <w:tc>
          <w:tcPr/>
          <w:p>
            <w:pPr>
              <w:pStyle w:val="Compact"/>
            </w:pPr>
            <w:r>
              <w:t xml:space="preserve">-0.175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(0.393)</w:t>
            </w:r>
          </w:p>
        </w:tc>
        <w:tc>
          <w:tcPr/>
          <w:p>
            <w:pPr>
              <w:pStyle w:val="Compact"/>
            </w:pPr>
            <w:r>
              <w:t xml:space="preserve">(0.282)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(%)</w:t>
            </w:r>
          </w:p>
        </w:tc>
        <w:tc>
          <w:tcPr/>
          <w:p>
            <w:pPr>
              <w:pStyle w:val="Compact"/>
            </w:pPr>
            <w:r>
              <w:t xml:space="preserve">-0.005</w:t>
            </w:r>
          </w:p>
        </w:tc>
        <w:tc>
          <w:tcPr/>
          <w:p>
            <w:pPr>
              <w:pStyle w:val="Compact"/>
            </w:pPr>
            <w:r>
              <w:t xml:space="preserve">-0.004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(0.007)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 (% GDP)</w:t>
            </w:r>
          </w:p>
        </w:tc>
        <w:tc>
          <w:tcPr/>
          <w:p>
            <w:pPr>
              <w:pStyle w:val="Compact"/>
            </w:pPr>
            <w:r>
              <w:t xml:space="preserve">-0.180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(0.228)</w:t>
            </w:r>
          </w:p>
        </w:tc>
        <w:tc>
          <w:tcPr/>
          <w:p>
            <w:pPr>
              <w:pStyle w:val="Compact"/>
            </w:pPr>
            <w:r>
              <w:t xml:space="preserve">(0.113)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 (% GDP)</w:t>
            </w:r>
          </w:p>
        </w:tc>
        <w:tc>
          <w:tcPr/>
          <w:p>
            <w:pPr>
              <w:pStyle w:val="Compact"/>
            </w:pPr>
            <w:r>
              <w:t xml:space="preserve">-0.006**</w:t>
            </w:r>
          </w:p>
        </w:tc>
        <w:tc>
          <w:tcPr/>
          <w:p>
            <w:pPr>
              <w:pStyle w:val="Compact"/>
            </w:pPr>
            <w:r>
              <w:t xml:space="preserve">-0.007***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(WGI)</w:t>
            </w:r>
          </w:p>
        </w:tc>
        <w:tc>
          <w:tcPr/>
          <w:p>
            <w:pPr>
              <w:pStyle w:val="Compact"/>
            </w:pPr>
            <w:r>
              <w:t xml:space="preserve">0.226</w:t>
            </w:r>
          </w:p>
        </w:tc>
        <w:tc>
          <w:tcPr/>
          <w:p>
            <w:pPr>
              <w:pStyle w:val="Compact"/>
            </w:pPr>
            <w:r>
              <w:t xml:space="preserve">0.141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(0.245)</w:t>
            </w:r>
          </w:p>
        </w:tc>
        <w:tc>
          <w:tcPr/>
          <w:p>
            <w:pPr>
              <w:pStyle w:val="Compact"/>
            </w:pPr>
            <w:r>
              <w:t xml:space="preserve">(0.214)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530</w:t>
            </w:r>
          </w:p>
        </w:tc>
        <w:tc>
          <w:tcPr/>
          <w:p>
            <w:pPr>
              <w:pStyle w:val="Compact"/>
            </w:pPr>
            <w:r>
              <w:t xml:space="preserve">530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0.849</w:t>
            </w:r>
          </w:p>
        </w:tc>
        <w:tc>
          <w:tcPr/>
          <w:p>
            <w:pPr>
              <w:pStyle w:val="Compact"/>
            </w:pPr>
            <w:r>
              <w:t xml:space="preserve">0.847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0.824</w:t>
            </w:r>
          </w:p>
        </w:tc>
        <w:tc>
          <w:tcPr/>
          <w:p>
            <w:pPr>
              <w:pStyle w:val="Compact"/>
            </w:pPr>
            <w:r>
              <w:t xml:space="preserve">0.822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  <w:r>
              <w:t xml:space="preserve">0.113</w:t>
            </w:r>
          </w:p>
        </w:tc>
        <w:tc>
          <w:tcPr/>
          <w:p>
            <w:pPr>
              <w:pStyle w:val="Compact"/>
            </w:pPr>
            <w:r>
              <w:t xml:space="preserve">0.102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  <w:r>
              <w:t xml:space="preserve">0.101</w:t>
            </w:r>
          </w:p>
        </w:tc>
        <w:tc>
          <w:tcPr/>
          <w:p>
            <w:pPr>
              <w:pStyle w:val="Compact"/>
            </w:pPr>
            <w:r>
              <w:t xml:space="preserve">0.088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pair_id_em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3"/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 &lt; 0.1, ** p &lt; 0.05, *** p &lt; 0.01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Column (2): two-way FE with ASEAN interaction (IV not used: the single Bartik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instrument cannot instrument both AIPI_EM and its ASEAN interaction).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ASEAN countries in the EPO-based EM sample: IDN, MYS, PHL, THA. VNM/MMR enter only the</w:t>
            </w:r>
            <w:r>
              <w:t xml:space="preserve"> </w:t>
            </w:r>
            <w:r>
              <w:t xml:space="preserve">WIPO-based sample (Table 24).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SE clustered at pair level. * p&lt;0.10, ** p&lt;0.05, *** p&lt;0.01. Alpha = 0.10.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2026-07-14T10:34:32Z</dcterms:created>
  <dcterms:modified xsi:type="dcterms:W3CDTF">2026-07-14T10:34:32Z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