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23. ASEAN Spotlight: Does the AI-Labor-Share Relationship Differ in South-East Asia?</w:t>
      </w:r>
    </w:p>
    <w:tbl>
      <w:tblPr>
        <w:tblStyle w:val="Table"/>
        <w:tblW w:type="pct" w:w="4947"/>
        <w:tblLayout w:type="fixed"/>
        <w:tblLook w:firstRow="1" w:lastRow="1" w:firstColumn="0" w:lastColumn="0" w:noHBand="0" w:noVBand="0" w:val="0020"/>
        <w:tblCaption w:val="Table 23. ASEAN Spotlight: Does the AI-Labor-Share Relationship Differ in South-East Asia?"/>
      </w:tblPr>
      <w:tblGrid>
        <w:gridCol w:w="3001"/>
        <w:gridCol w:w="2167"/>
        <w:gridCol w:w="26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 EM (baseline)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 EM + ASEAN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0.062*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x ASEAN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-0.102**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-0.175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(0.393)</w:t>
            </w:r>
          </w:p>
        </w:tc>
        <w:tc>
          <w:tcPr/>
          <w:p>
            <w:pPr>
              <w:pStyle w:val="Compact"/>
            </w:pPr>
            <w:r>
              <w:t xml:space="preserve">(0.282)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-0.180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(0.228)</w:t>
            </w:r>
          </w:p>
        </w:tc>
        <w:tc>
          <w:tcPr/>
          <w:p>
            <w:pPr>
              <w:pStyle w:val="Compact"/>
            </w:pPr>
            <w:r>
              <w:t xml:space="preserve">(0.113)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</w:p>
        </w:tc>
        <w:tc>
          <w:tcPr/>
          <w:p>
            <w:pPr>
              <w:pStyle w:val="Compact"/>
            </w:pPr>
            <w:r>
              <w:t xml:space="preserve">-0.007***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  <w:tc>
          <w:tcPr/>
          <w:p>
            <w:pPr>
              <w:pStyle w:val="Compact"/>
            </w:pPr>
            <w:r>
              <w:t xml:space="preserve">(0.214)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Column (2): two-way FE with ASEAN interaction (IV not used: the single Bartik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instrument cannot instrument both AIPI_EM and its ASEAN interaction).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ASEAN countries in the EPO-based EM sample: IDN, MYS, PHL, THA. VNM/MMR enter only the</w:t>
            </w:r>
            <w:r>
              <w:t xml:space="preserve"> </w:t>
            </w:r>
            <w:r>
              <w:t xml:space="preserve">WIPO-based sample (Table 24).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2026-07-22T06:29:55Z</dcterms:created>
  <dcterms:modified xsi:type="dcterms:W3CDTF">2026-07-22T06:29:55Z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