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24. Source Robustness: EPO vs WIPO AI Patents, and Viet Nam In-Sample (EM)</w:t>
      </w:r>
    </w:p>
    <w:tbl>
      <w:tblPr>
        <w:tblStyle w:val="Table"/>
        <w:tblW w:type="pct" w:w="4902"/>
        <w:tblLayout w:type="fixed"/>
        <w:tblLook w:firstRow="1" w:lastRow="1" w:firstColumn="0" w:lastColumn="0" w:noHBand="0" w:noVBand="0" w:val="0020"/>
        <w:tblCaption w:val="Table 24. Source Robustness: EPO vs WIPO AI Patents, and Viet Nam In-Sample (EM)"/>
      </w:tblPr>
      <w:tblGrid>
        <w:gridCol w:w="2329"/>
        <w:gridCol w:w="1449"/>
        <w:gridCol w:w="1760"/>
        <w:gridCol w:w="776"/>
        <w:gridCol w:w="144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FE-IV, EPO AI patents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WIPO AI publications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FE, WIPO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+ ASEAN int., WIPO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[EPO source]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[WIPO]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(0.355)</w:t>
            </w:r>
          </w:p>
        </w:tc>
        <w:tc>
          <w:tcPr/>
          <w:p>
            <w:pPr>
              <w:pStyle w:val="Compact"/>
            </w:pPr>
            <w:r>
              <w:t xml:space="preserve">(0.298)</w:t>
            </w:r>
          </w:p>
        </w:tc>
        <w:tc>
          <w:tcPr/>
          <w:p>
            <w:pPr>
              <w:pStyle w:val="Compact"/>
            </w:pPr>
            <w:r>
              <w:t xml:space="preserve">(0.300)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(0.938)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0.348*</w:t>
            </w:r>
          </w:p>
        </w:tc>
        <w:tc>
          <w:tcPr/>
          <w:p>
            <w:pPr>
              <w:pStyle w:val="Compact"/>
            </w:pPr>
            <w:r>
              <w:t xml:space="preserve">0.343*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(0.513)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Cols (2)-(4): AIPI_alt built from WIPO AI-related patent publications by origin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(indicator 4c), same C/D_E industry weighting and log(x+1) transform as the EPO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baseline; IV = leave-one-out Bartik within the EM sample.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WIPO-based sample includes ASEAN countries absent from the EPO source: MMR, VNM.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Empty WIPO cells = zero publications (valid zeros).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2026-07-14T10:34:33Z</dcterms:created>
  <dcterms:modified xsi:type="dcterms:W3CDTF">2026-07-14T10:34:33Z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