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24. Source Robustness: EPO vs WIPO AI Patents, and Viet Nam In-Sample (EM)</w:t>
      </w:r>
    </w:p>
    <w:tbl>
      <w:tblPr>
        <w:tblStyle w:val="Table"/>
        <w:tblW w:type="pct" w:w="4902"/>
        <w:tblLayout w:type="fixed"/>
        <w:tblLook w:firstRow="1" w:lastRow="1" w:firstColumn="0" w:lastColumn="0" w:noHBand="0" w:noVBand="0" w:val="0020"/>
        <w:tblCaption w:val="Table 24. Source Robustness: EPO vs WIPO AI Patents, and Viet Nam In-Sample (EM)"/>
      </w:tblPr>
      <w:tblGrid>
        <w:gridCol w:w="2329"/>
        <w:gridCol w:w="1449"/>
        <w:gridCol w:w="1760"/>
        <w:gridCol w:w="776"/>
        <w:gridCol w:w="144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FE-IV, EPO AI patents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FE-IV, WIPO AI publications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FE, WIPO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FE + ASEAN int., WIPO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[EPO source]</w:t>
            </w: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 [WIPO source]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-0.474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(ln) [WIPO source]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[WIPO] x ASEAN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0.056**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-0.111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</w:p>
        </w:tc>
        <w:tc>
          <w:tcPr/>
          <w:p>
            <w:pPr>
              <w:pStyle w:val="Compact"/>
            </w:pPr>
            <w:r>
              <w:t xml:space="preserve">-0.034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(0.393)</w:t>
            </w:r>
          </w:p>
        </w:tc>
        <w:tc>
          <w:tcPr/>
          <w:p>
            <w:pPr>
              <w:pStyle w:val="Compact"/>
            </w:pPr>
            <w:r>
              <w:t xml:space="preserve">(0.355)</w:t>
            </w:r>
          </w:p>
        </w:tc>
        <w:tc>
          <w:tcPr/>
          <w:p>
            <w:pPr>
              <w:pStyle w:val="Compact"/>
            </w:pPr>
            <w:r>
              <w:t xml:space="preserve">(0.298)</w:t>
            </w:r>
          </w:p>
        </w:tc>
        <w:tc>
          <w:tcPr/>
          <w:p>
            <w:pPr>
              <w:pStyle w:val="Compact"/>
            </w:pPr>
            <w:r>
              <w:t xml:space="preserve">(0.300)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(% GDP)</w:t>
            </w:r>
          </w:p>
        </w:tc>
        <w:tc>
          <w:tcPr/>
          <w:p>
            <w:pPr>
              <w:pStyle w:val="Compact"/>
            </w:pPr>
            <w:r>
              <w:t xml:space="preserve">-0.180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t xml:space="preserve">-0.055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(0.228)</w:t>
            </w:r>
          </w:p>
        </w:tc>
        <w:tc>
          <w:tcPr/>
          <w:p>
            <w:pPr>
              <w:pStyle w:val="Compact"/>
            </w:pPr>
            <w:r>
              <w:t xml:space="preserve">(0.938)</w:t>
            </w:r>
          </w:p>
        </w:tc>
        <w:tc>
          <w:tcPr/>
          <w:p>
            <w:pPr>
              <w:pStyle w:val="Compact"/>
            </w:pPr>
            <w:r>
              <w:t xml:space="preserve">(0.131)</w:t>
            </w:r>
          </w:p>
        </w:tc>
        <w:tc>
          <w:tcPr/>
          <w:p>
            <w:pPr>
              <w:pStyle w:val="Compact"/>
            </w:pPr>
            <w:r>
              <w:t xml:space="preserve">(0.132)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GDP)</w:t>
            </w:r>
          </w:p>
        </w:tc>
        <w:tc>
          <w:tcPr/>
          <w:p>
            <w:pPr>
              <w:pStyle w:val="Compact"/>
            </w:pPr>
            <w:r>
              <w:t xml:space="preserve">-0.006**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-0.005***</w:t>
            </w:r>
          </w:p>
        </w:tc>
        <w:tc>
          <w:tcPr/>
          <w:p>
            <w:pPr>
              <w:pStyle w:val="Compact"/>
            </w:pPr>
            <w:r>
              <w:t xml:space="preserve">-0.005***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(WGI)</w:t>
            </w:r>
          </w:p>
        </w:tc>
        <w:tc>
          <w:tcPr/>
          <w:p>
            <w:pPr>
              <w:pStyle w:val="Compact"/>
            </w:pPr>
            <w:r>
              <w:t xml:space="preserve">0.226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0.348*</w:t>
            </w:r>
          </w:p>
        </w:tc>
        <w:tc>
          <w:tcPr/>
          <w:p>
            <w:pPr>
              <w:pStyle w:val="Compact"/>
            </w:pPr>
            <w:r>
              <w:t xml:space="preserve">0.343*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(0.245)</w:t>
            </w:r>
          </w:p>
        </w:tc>
        <w:tc>
          <w:tcPr/>
          <w:p>
            <w:pPr>
              <w:pStyle w:val="Compact"/>
            </w:pPr>
            <w:r>
              <w:t xml:space="preserve">(0.513)</w:t>
            </w: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  <w:tc>
          <w:tcPr/>
          <w:p>
            <w:pPr>
              <w:pStyle w:val="Compact"/>
            </w:pPr>
            <w:r>
              <w:t xml:space="preserve">(0.179)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530</w:t>
            </w:r>
          </w:p>
        </w:tc>
        <w:tc>
          <w:tcPr/>
          <w:p>
            <w:pPr>
              <w:pStyle w:val="Compact"/>
            </w:pPr>
            <w:r>
              <w:t xml:space="preserve">616</w:t>
            </w:r>
          </w:p>
        </w:tc>
        <w:tc>
          <w:tcPr/>
          <w:p>
            <w:pPr>
              <w:pStyle w:val="Compact"/>
            </w:pPr>
            <w:r>
              <w:t xml:space="preserve">616</w:t>
            </w:r>
          </w:p>
        </w:tc>
        <w:tc>
          <w:tcPr/>
          <w:p>
            <w:pPr>
              <w:pStyle w:val="Compact"/>
            </w:pPr>
            <w:r>
              <w:t xml:space="preserve">616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  <w:tc>
          <w:tcPr/>
          <w:p>
            <w:pPr>
              <w:pStyle w:val="Compact"/>
            </w:pPr>
            <w:r>
              <w:t xml:space="preserve">0.846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0.822</w:t>
            </w:r>
          </w:p>
        </w:tc>
        <w:tc>
          <w:tcPr/>
          <w:p>
            <w:pPr>
              <w:pStyle w:val="Compact"/>
            </w:pPr>
            <w:r>
              <w:t xml:space="preserve">0.822</w:t>
            </w:r>
          </w:p>
        </w:tc>
        <w:tc>
          <w:tcPr/>
          <w:p>
            <w:pPr>
              <w:pStyle w:val="Compact"/>
            </w:pPr>
            <w:r>
              <w:t xml:space="preserve">0.822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0.081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0.071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Cols (2)-(4): AIPI_alt built from WIPO AI-related patent publications by origin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(indicator 4c), same C/D_E industry weighting and log(x+1) transform as the EPO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baseline; IV = leave-one-out Bartik within the EM sample.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WIPO-based sample includes ASEAN countries absent from the EPO source: MMR, VNM.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Empty WIPO cells = zero publications (valid zeros).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2026-07-22T06:29:56Z</dcterms:created>
  <dcterms:modified xsi:type="dcterms:W3CDTF">2026-07-22T06:29:56Z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