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26. Preferred EM Specification and Channel Decomposition of the Labor-Share Response</w:t>
      </w:r>
    </w:p>
    <w:tbl>
      <w:tblPr>
        <w:tblStyle w:val="Table"/>
        <w:tblW w:type="pct" w:w="4877"/>
        <w:tblLayout w:type="fixed"/>
        <w:tblLook w:firstRow="1" w:lastRow="1" w:firstColumn="0" w:lastColumn="0" w:noHBand="0" w:noVBand="0" w:val="0020"/>
        <w:tblCaption w:val="Table 26. Preferred EM Specification and Channel Decomposition of the Labor-Share Response"/>
      </w:tblPr>
      <w:tblGrid>
        <w:gridCol w:w="1749"/>
        <w:gridCol w:w="1457"/>
        <w:gridCol w:w="1652"/>
        <w:gridCol w:w="874"/>
        <w:gridCol w:w="971"/>
        <w:gridCol w:w="10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 labshare [preferred]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 labshare [robustness]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 avg wage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 employment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FE value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[EM]</w:t>
            </w:r>
          </w:p>
        </w:tc>
        <w:tc>
          <w:tcPr/>
          <w:p>
            <w:pPr>
              <w:pStyle w:val="Compact"/>
            </w:pPr>
            <w:r>
              <w:t xml:space="preserve">0.062*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-0.159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0.612***</w:t>
            </w:r>
          </w:p>
        </w:tc>
        <w:tc>
          <w:tcPr/>
          <w:p>
            <w:pPr>
              <w:pStyle w:val="Compact"/>
            </w:pPr>
            <w:r>
              <w:t xml:space="preserve">0.530**</w:t>
            </w:r>
          </w:p>
        </w:tc>
        <w:tc>
          <w:tcPr/>
          <w:p>
            <w:pPr>
              <w:pStyle w:val="Compact"/>
            </w:pPr>
            <w:r>
              <w:t xml:space="preserve">1.301***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(0.283)</w:t>
            </w: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  <w:tc>
          <w:tcPr/>
          <w:p>
            <w:pPr>
              <w:pStyle w:val="Compact"/>
            </w:pPr>
            <w:r>
              <w:t xml:space="preserve">(0.217)</w:t>
            </w:r>
          </w:p>
        </w:tc>
        <w:tc>
          <w:tcPr/>
          <w:p>
            <w:pPr>
              <w:pStyle w:val="Compact"/>
            </w:pPr>
            <w:r>
              <w:t xml:space="preserve">(0.199)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(0.118)</w:t>
            </w: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  <w:tc>
          <w:tcPr/>
          <w:p>
            <w:pPr>
              <w:pStyle w:val="Compact"/>
            </w:pPr>
            <w:r>
              <w:t xml:space="preserve">(0.159)</w:t>
            </w:r>
          </w:p>
        </w:tc>
        <w:tc>
          <w:tcPr/>
          <w:p>
            <w:pPr>
              <w:pStyle w:val="Compact"/>
            </w:pPr>
            <w:r>
              <w:t xml:space="preserve">(0.205)</w:t>
            </w:r>
          </w:p>
        </w:tc>
        <w:tc>
          <w:tcPr/>
          <w:p>
            <w:pPr>
              <w:pStyle w:val="Compact"/>
            </w:pPr>
            <w:r>
              <w:t xml:space="preserve">(0.234)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-0.007***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  <w:tc>
          <w:tcPr/>
          <w:p>
            <w:pPr>
              <w:pStyle w:val="Compact"/>
            </w:pPr>
            <w:r>
              <w:t xml:space="preserve">-0.008***</w:t>
            </w:r>
          </w:p>
        </w:tc>
        <w:tc>
          <w:tcPr/>
          <w:p>
            <w:pPr>
              <w:pStyle w:val="Compact"/>
            </w:pPr>
            <w:r>
              <w:t xml:space="preserve">0.005**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  <w:tc>
          <w:tcPr/>
          <w:p>
            <w:pPr>
              <w:pStyle w:val="Compact"/>
            </w:pPr>
            <w:r>
              <w:t xml:space="preserve">-0.197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(0.216)</w:t>
            </w: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  <w:tc>
          <w:tcPr/>
          <w:p>
            <w:pPr>
              <w:pStyle w:val="Compact"/>
            </w:pPr>
            <w:r>
              <w:t xml:space="preserve">(0.200)</w:t>
            </w:r>
          </w:p>
        </w:tc>
        <w:tc>
          <w:tcPr/>
          <w:p>
            <w:pPr>
              <w:pStyle w:val="Compact"/>
            </w:pPr>
            <w:r>
              <w:t xml:space="preserve">(0.159)</w:t>
            </w:r>
          </w:p>
        </w:tc>
        <w:tc>
          <w:tcPr/>
          <w:p>
            <w:pPr>
              <w:pStyle w:val="Compact"/>
            </w:pPr>
            <w:r>
              <w:t xml:space="preserve">(0.243)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Preference logic: Wu-Hausman (Table diagnostics, TEST 5 EM) does not reject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exogeneity of AIPI_EM -&gt; FE is consistent and more efficient than FE-IV;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FE-IV retained as identification robustness (same sign, larger SE).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Channels: ln(labshare) = ln(avg wage) + ln(employment) - ln(VA); betas in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cols (3)+(4)-(5) sum exactly to col (1) on the common estimation sample.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Cols (1),(3)-(5) estimated on the common finite sample (chan_dat).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2026-07-14T10:34:34Z</dcterms:created>
  <dcterms:modified xsi:type="dcterms:W3CDTF">2026-07-14T10:34:34Z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