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26. Preferred EM Specification and Channel Decomposition of the Labor-Share Response</w:t>
      </w:r>
    </w:p>
    <w:tbl>
      <w:tblPr>
        <w:tblStyle w:val="Table"/>
        <w:tblW w:type="pct" w:w="4877"/>
        <w:tblLayout w:type="fixed"/>
        <w:tblLook w:firstRow="1" w:lastRow="1" w:firstColumn="0" w:lastColumn="0" w:noHBand="0" w:noVBand="0" w:val="0020"/>
        <w:tblCaption w:val="Table 26. Preferred EM Specification and Channel Decomposition of the Labor-Share Response"/>
      </w:tblPr>
      <w:tblGrid>
        <w:gridCol w:w="1749"/>
        <w:gridCol w:w="1457"/>
        <w:gridCol w:w="1652"/>
        <w:gridCol w:w="874"/>
        <w:gridCol w:w="971"/>
        <w:gridCol w:w="10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 labshare [preferred]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FE-IV labshare [robustness]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 avg wage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FE employment</w:t>
            </w:r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FE value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(ln) [EM]</w:t>
            </w:r>
          </w:p>
        </w:tc>
        <w:tc>
          <w:tcPr/>
          <w:p>
            <w:pPr>
              <w:pStyle w:val="Compact"/>
            </w:pPr>
            <w:r>
              <w:t xml:space="preserve">0.062*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(0.047)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-0.159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0.612***</w:t>
            </w:r>
          </w:p>
        </w:tc>
        <w:tc>
          <w:tcPr/>
          <w:p>
            <w:pPr>
              <w:pStyle w:val="Compact"/>
            </w:pPr>
            <w:r>
              <w:t xml:space="preserve">0.530**</w:t>
            </w:r>
          </w:p>
        </w:tc>
        <w:tc>
          <w:tcPr/>
          <w:p>
            <w:pPr>
              <w:pStyle w:val="Compact"/>
            </w:pPr>
            <w:r>
              <w:t xml:space="preserve">1.301***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(0.283)</w:t>
            </w:r>
          </w:p>
        </w:tc>
        <w:tc>
          <w:tcPr/>
          <w:p>
            <w:pPr>
              <w:pStyle w:val="Compact"/>
            </w:pPr>
            <w:r>
              <w:t xml:space="preserve">(0.393)</w:t>
            </w:r>
          </w:p>
        </w:tc>
        <w:tc>
          <w:tcPr/>
          <w:p>
            <w:pPr>
              <w:pStyle w:val="Compact"/>
            </w:pPr>
            <w:r>
              <w:t xml:space="preserve">(0.217)</w:t>
            </w:r>
          </w:p>
        </w:tc>
        <w:tc>
          <w:tcPr/>
          <w:p>
            <w:pPr>
              <w:pStyle w:val="Compact"/>
            </w:pPr>
            <w:r>
              <w:t xml:space="preserve">(0.199)</w:t>
            </w:r>
          </w:p>
        </w:tc>
        <w:tc>
          <w:tcPr/>
          <w:p>
            <w:pPr>
              <w:pStyle w:val="Compact"/>
            </w:pPr>
            <w:r>
              <w:t xml:space="preserve">(0.307)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-0.180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(0.118)</w:t>
            </w:r>
          </w:p>
        </w:tc>
        <w:tc>
          <w:tcPr/>
          <w:p>
            <w:pPr>
              <w:pStyle w:val="Compact"/>
            </w:pPr>
            <w:r>
              <w:t xml:space="preserve">(0.228)</w:t>
            </w:r>
          </w:p>
        </w:tc>
        <w:tc>
          <w:tcPr/>
          <w:p>
            <w:pPr>
              <w:pStyle w:val="Compact"/>
            </w:pPr>
            <w:r>
              <w:t xml:space="preserve">(0.159)</w:t>
            </w:r>
          </w:p>
        </w:tc>
        <w:tc>
          <w:tcPr/>
          <w:p>
            <w:pPr>
              <w:pStyle w:val="Compact"/>
            </w:pPr>
            <w:r>
              <w:t xml:space="preserve">(0.205)</w:t>
            </w:r>
          </w:p>
        </w:tc>
        <w:tc>
          <w:tcPr/>
          <w:p>
            <w:pPr>
              <w:pStyle w:val="Compact"/>
            </w:pPr>
            <w:r>
              <w:t xml:space="preserve">(0.234)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GDP)</w:t>
            </w:r>
          </w:p>
        </w:tc>
        <w:tc>
          <w:tcPr/>
          <w:p>
            <w:pPr>
              <w:pStyle w:val="Compact"/>
            </w:pPr>
            <w:r>
              <w:t xml:space="preserve">-0.007***</w:t>
            </w:r>
          </w:p>
        </w:tc>
        <w:tc>
          <w:tcPr/>
          <w:p>
            <w:pPr>
              <w:pStyle w:val="Compact"/>
            </w:pPr>
            <w:r>
              <w:t xml:space="preserve">-0.006**</w:t>
            </w:r>
          </w:p>
        </w:tc>
        <w:tc>
          <w:tcPr/>
          <w:p>
            <w:pPr>
              <w:pStyle w:val="Compact"/>
            </w:pPr>
            <w:r>
              <w:t xml:space="preserve">-0.008***</w:t>
            </w:r>
          </w:p>
        </w:tc>
        <w:tc>
          <w:tcPr/>
          <w:p>
            <w:pPr>
              <w:pStyle w:val="Compact"/>
            </w:pPr>
            <w:r>
              <w:t xml:space="preserve">0.005**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(WGI)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-0.165</w:t>
            </w:r>
          </w:p>
        </w:tc>
        <w:tc>
          <w:tcPr/>
          <w:p>
            <w:pPr>
              <w:pStyle w:val="Compact"/>
            </w:pPr>
            <w:r>
              <w:t xml:space="preserve">-0.197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(0.216)</w:t>
            </w:r>
          </w:p>
        </w:tc>
        <w:tc>
          <w:tcPr/>
          <w:p>
            <w:pPr>
              <w:pStyle w:val="Compact"/>
            </w:pPr>
            <w:r>
              <w:t xml:space="preserve">(0.245)</w:t>
            </w:r>
          </w:p>
        </w:tc>
        <w:tc>
          <w:tcPr/>
          <w:p>
            <w:pPr>
              <w:pStyle w:val="Compact"/>
            </w:pPr>
            <w:r>
              <w:t xml:space="preserve">(0.200)</w:t>
            </w:r>
          </w:p>
        </w:tc>
        <w:tc>
          <w:tcPr/>
          <w:p>
            <w:pPr>
              <w:pStyle w:val="Compact"/>
            </w:pPr>
            <w:r>
              <w:t xml:space="preserve">(0.159)</w:t>
            </w:r>
          </w:p>
        </w:tc>
        <w:tc>
          <w:tcPr/>
          <w:p>
            <w:pPr>
              <w:pStyle w:val="Compact"/>
            </w:pPr>
            <w:r>
              <w:t xml:space="preserve">(0.243)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0.159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Preference logic: Wu-Hausman (Table diagnostics, TEST 5 EM) does not reject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exogeneity of AIPI_EM -&gt; FE is consistent and more efficient than FE-IV;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FE-IV retained as identification robustness (same sign, larger SE).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Channels: ln(labshare) = ln(avg wage) + ln(employment) - ln(VA); betas in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cols (3)+(4)-(5) sum exactly to col (1) on the common estimation sample.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Cols (1),(3)-(5) estimated on the common finite sample (chan_dat).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2026-07-22T06:29:57Z</dcterms:created>
  <dcterms:modified xsi:type="dcterms:W3CDTF">2026-07-22T06:29:57Z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