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4. Descriptive Statistics, OECD Panel</w:t>
      </w:r>
    </w:p>
    <w:tbl>
      <w:tblPr>
        <w:tblStyle w:val="Table"/>
        <w:tblW w:type="pct" w:w="4825"/>
        <w:tblLayout w:type="fixed"/>
        <w:tblLook w:firstRow="1" w:lastRow="1" w:firstColumn="0" w:lastColumn="0" w:noHBand="0" w:noVBand="0" w:val="0020"/>
        <w:tblCaption w:val="Table 4. Descriptive Statistics, OECD Panel"/>
      </w:tblPr>
      <w:tblGrid>
        <w:gridCol w:w="3960"/>
        <w:gridCol w:w="833"/>
        <w:gridCol w:w="694"/>
        <w:gridCol w:w="694"/>
        <w:gridCol w:w="694"/>
        <w:gridCol w:w="7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industry-weighted AI patents)</w:t>
            </w:r>
          </w:p>
        </w:tc>
        <w:tc>
          <w:tcPr/>
          <w:p>
            <w:pPr>
              <w:pStyle w:val="Compact"/>
            </w:pPr>
            <w:r>
              <w:t xml:space="preserve">3250.0000</w:t>
            </w:r>
          </w:p>
        </w:tc>
        <w:tc>
          <w:tcPr/>
          <w:p>
            <w:pPr>
              <w:pStyle w:val="Compact"/>
            </w:pPr>
            <w:r>
              <w:t xml:space="preserve">0.9140</w:t>
            </w:r>
          </w:p>
        </w:tc>
        <w:tc>
          <w:tcPr/>
          <w:p>
            <w:pPr>
              <w:pStyle w:val="Compact"/>
            </w:pPr>
            <w:r>
              <w:t xml:space="preserve">1.2910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7.7510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High-capital dummy (1 = capform above OECD median)</w:t>
            </w:r>
          </w:p>
        </w:tc>
        <w:tc>
          <w:tcPr/>
          <w:p>
            <w:pPr>
              <w:pStyle w:val="Compact"/>
            </w:pPr>
            <w:r>
              <w:t xml:space="preserve">3120.0000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High-skill dummy (1 = avg wage above OECD median)</w:t>
            </w:r>
          </w:p>
        </w:tc>
        <w:tc>
          <w:tcPr/>
          <w:p>
            <w:pPr>
              <w:pStyle w:val="Compact"/>
            </w:pPr>
            <w:r>
              <w:t xml:space="preserve">3250.0000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3250.0000</w:t>
            </w:r>
          </w:p>
        </w:tc>
        <w:tc>
          <w:tcPr/>
          <w:p>
            <w:pPr>
              <w:pStyle w:val="Compact"/>
            </w:pPr>
            <w:r>
              <w:t xml:space="preserve">33.6690</w:t>
            </w:r>
          </w:p>
        </w:tc>
        <w:tc>
          <w:tcPr/>
          <w:p>
            <w:pPr>
              <w:pStyle w:val="Compact"/>
            </w:pPr>
            <w:r>
              <w:t xml:space="preserve">7.2960</w:t>
            </w:r>
          </w:p>
        </w:tc>
        <w:tc>
          <w:tcPr/>
          <w:p>
            <w:pPr>
              <w:pStyle w:val="Compact"/>
            </w:pPr>
            <w:r>
              <w:t xml:space="preserve">15.3790</w:t>
            </w:r>
          </w:p>
        </w:tc>
        <w:tc>
          <w:tcPr/>
          <w:p>
            <w:pPr>
              <w:pStyle w:val="Compact"/>
            </w:pPr>
            <w:r>
              <w:t xml:space="preserve">48.2500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3120.0000</w:t>
            </w:r>
          </w:p>
        </w:tc>
        <w:tc>
          <w:tcPr/>
          <w:p>
            <w:pPr>
              <w:pStyle w:val="Compact"/>
            </w:pPr>
            <w:r>
              <w:t xml:space="preserve">0.2740</w:t>
            </w:r>
          </w:p>
        </w:tc>
        <w:tc>
          <w:tcPr/>
          <w:p>
            <w:pPr>
              <w:pStyle w:val="Compact"/>
            </w:pPr>
            <w:r>
              <w:t xml:space="preserve">0.2710</w:t>
            </w:r>
          </w:p>
        </w:tc>
        <w:tc>
          <w:tcPr/>
          <w:p>
            <w:pPr>
              <w:pStyle w:val="Compact"/>
            </w:pPr>
            <w:r>
              <w:t xml:space="preserve">-0.0170</w:t>
            </w:r>
          </w:p>
        </w:tc>
        <w:tc>
          <w:tcPr/>
          <w:p>
            <w:pPr>
              <w:pStyle w:val="Compact"/>
            </w:pPr>
            <w:r>
              <w:t xml:space="preserve">4.4670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3250.0000</w:t>
            </w:r>
          </w:p>
        </w:tc>
        <w:tc>
          <w:tcPr/>
          <w:p>
            <w:pPr>
              <w:pStyle w:val="Compact"/>
            </w:pPr>
            <w:r>
              <w:t xml:space="preserve">10.4910</w:t>
            </w:r>
          </w:p>
        </w:tc>
        <w:tc>
          <w:tcPr/>
          <w:p>
            <w:pPr>
              <w:pStyle w:val="Compact"/>
            </w:pPr>
            <w:r>
              <w:t xml:space="preserve">0.5180</w:t>
            </w:r>
          </w:p>
        </w:tc>
        <w:tc>
          <w:tcPr/>
          <w:p>
            <w:pPr>
              <w:pStyle w:val="Compact"/>
            </w:pPr>
            <w:r>
              <w:t xml:space="preserve">9.2880</w:t>
            </w:r>
          </w:p>
        </w:tc>
        <w:tc>
          <w:tcPr/>
          <w:p>
            <w:pPr>
              <w:pStyle w:val="Compact"/>
            </w:pPr>
            <w:r>
              <w:t xml:space="preserve">11.4910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 income share (ln, LABR / VALU)</w:t>
            </w:r>
          </w:p>
        </w:tc>
        <w:tc>
          <w:tcPr/>
          <w:p>
            <w:pPr>
              <w:pStyle w:val="Compact"/>
            </w:pPr>
            <w:r>
              <w:t xml:space="preserve">3250.0000</w:t>
            </w:r>
          </w:p>
        </w:tc>
        <w:tc>
          <w:tcPr/>
          <w:p>
            <w:pPr>
              <w:pStyle w:val="Compact"/>
            </w:pPr>
            <w:r>
              <w:t xml:space="preserve">-0.8430</w:t>
            </w:r>
          </w:p>
        </w:tc>
        <w:tc>
          <w:tcPr/>
          <w:p>
            <w:pPr>
              <w:pStyle w:val="Compact"/>
            </w:pPr>
            <w:r>
              <w:t xml:space="preserve">0.4450</w:t>
            </w:r>
          </w:p>
        </w:tc>
        <w:tc>
          <w:tcPr/>
          <w:p>
            <w:pPr>
              <w:pStyle w:val="Compact"/>
            </w:pPr>
            <w:r>
              <w:t xml:space="preserve">-3.1330</w:t>
            </w:r>
          </w:p>
        </w:tc>
        <w:tc>
          <w:tcPr/>
          <w:p>
            <w:pPr>
              <w:pStyle w:val="Compact"/>
            </w:pPr>
            <w:r>
              <w:t xml:space="preserve">0.4820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3250.0000</w:t>
            </w:r>
          </w:p>
        </w:tc>
        <w:tc>
          <w:tcPr/>
          <w:p>
            <w:pPr>
              <w:pStyle w:val="Compact"/>
            </w:pPr>
            <w:r>
              <w:t xml:space="preserve">2.1980</w:t>
            </w:r>
          </w:p>
        </w:tc>
        <w:tc>
          <w:tcPr/>
          <w:p>
            <w:pPr>
              <w:pStyle w:val="Compact"/>
            </w:pPr>
            <w:r>
              <w:t xml:space="preserve">0.8870</w:t>
            </w:r>
          </w:p>
        </w:tc>
        <w:tc>
          <w:tcPr/>
          <w:p>
            <w:pPr>
              <w:pStyle w:val="Compact"/>
            </w:pPr>
            <w:r>
              <w:t xml:space="preserve">0.6050</w:t>
            </w:r>
          </w:p>
        </w:tc>
        <w:tc>
          <w:tcPr/>
          <w:p>
            <w:pPr>
              <w:pStyle w:val="Compact"/>
            </w:pPr>
            <w:r>
              <w:t xml:space="preserve">4.8480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3250.0000</w:t>
            </w:r>
          </w:p>
        </w:tc>
        <w:tc>
          <w:tcPr/>
          <w:p>
            <w:pPr>
              <w:pStyle w:val="Compact"/>
            </w:pPr>
            <w:r>
              <w:t xml:space="preserve">19.6780</w:t>
            </w:r>
          </w:p>
        </w:tc>
        <w:tc>
          <w:tcPr/>
          <w:p>
            <w:pPr>
              <w:pStyle w:val="Compact"/>
            </w:pPr>
            <w:r>
              <w:t xml:space="preserve">14.1910</w:t>
            </w:r>
          </w:p>
        </w:tc>
        <w:tc>
          <w:tcPr/>
          <w:p>
            <w:pPr>
              <w:pStyle w:val="Compact"/>
            </w:pPr>
            <w:r>
              <w:t xml:space="preserve">1.3000</w:t>
            </w:r>
          </w:p>
        </w:tc>
        <w:tc>
          <w:tcPr/>
          <w:p>
            <w:pPr>
              <w:pStyle w:val="Compact"/>
            </w:pPr>
            <w:r>
              <w:t xml:space="preserve">61.4000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3250.0000</w:t>
            </w:r>
          </w:p>
        </w:tc>
        <w:tc>
          <w:tcPr/>
          <w:p>
            <w:pPr>
              <w:pStyle w:val="Compact"/>
            </w:pPr>
            <w:r>
              <w:t xml:space="preserve">97.0780</w:t>
            </w:r>
          </w:p>
        </w:tc>
        <w:tc>
          <w:tcPr/>
          <w:p>
            <w:pPr>
              <w:pStyle w:val="Compact"/>
            </w:pPr>
            <w:r>
              <w:t xml:space="preserve">49.1080</w:t>
            </w:r>
          </w:p>
        </w:tc>
        <w:tc>
          <w:tcPr/>
          <w:p>
            <w:pPr>
              <w:pStyle w:val="Compact"/>
            </w:pPr>
            <w:r>
              <w:t xml:space="preserve">23.4020</w:t>
            </w:r>
          </w:p>
        </w:tc>
        <w:tc>
          <w:tcPr/>
          <w:p>
            <w:pPr>
              <w:pStyle w:val="Compact"/>
            </w:pPr>
            <w:r>
              <w:t xml:space="preserve">258.7800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Source: OECD STAN A*10, WDI, OECD AI Patents (EPO). N = observations.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2026-07-22T06:12:53Z</dcterms:created>
  <dcterms:modified xsi:type="dcterms:W3CDTF">2026-07-22T06:12:53Z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