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7. Model Structure and Estimation Details</w:t>
      </w:r>
    </w:p>
    <w:tbl>
      <w:tblPr>
        <w:tblStyle w:val="Table"/>
        <w:tblW w:type="pct" w:w="4965"/>
        <w:tblLayout w:type="fixed"/>
        <w:tblLook w:firstRow="1" w:lastRow="0" w:firstColumn="0" w:lastColumn="0" w:noHBand="0" w:noVBand="0" w:val="0020"/>
        <w:tblCaption w:val="Table 7. Model Structure and Estimation Details"/>
      </w:tblPr>
      <w:tblGrid>
        <w:gridCol w:w="1661"/>
        <w:gridCol w:w="2603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Observations / groups</w:t>
            </w:r>
          </w:p>
        </w:tc>
        <w:tc>
          <w:tcPr/>
          <w:p>
            <w:pPr>
              <w:pStyle w:val="Compact"/>
            </w:pPr>
            <w:r>
              <w:t xml:space="preserve">N = 3120; N groups = 250 pairs</w:t>
            </w:r>
          </w:p>
        </w:tc>
        <w:tc>
          <w:tcPr/>
          <w:p>
            <w:pPr>
              <w:pStyle w:val="Compact"/>
            </w:pPr>
            <w:r>
              <w:t xml:space="preserve">Balanced within FE-IV sample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Fixed effects</w:t>
            </w:r>
          </w:p>
        </w:tc>
        <w:tc>
          <w:tcPr/>
          <w:p>
            <w:pPr>
              <w:pStyle w:val="Compact"/>
            </w:pPr>
            <w:r>
              <w:t xml:space="preserve">Country-industry pair FE + year FE (two-way)</w:t>
            </w:r>
          </w:p>
        </w:tc>
        <w:tc>
          <w:tcPr/>
          <w:p>
            <w:pPr>
              <w:pStyle w:val="Compact"/>
            </w:pPr>
            <w:r>
              <w:t xml:space="preserve">Absorbs time-invariant pair heterogeneity + common year shocks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Standard-error treatment</w:t>
            </w:r>
          </w:p>
        </w:tc>
        <w:tc>
          <w:tcPr/>
          <w:p>
            <w:pPr>
              <w:pStyle w:val="Compact"/>
            </w:pPr>
            <w:r>
              <w:t xml:space="preserve">Clustered at pair level (250 clusters)</w:t>
            </w:r>
          </w:p>
        </w:tc>
        <w:tc>
          <w:tcPr/>
          <w:p>
            <w:pPr>
              <w:pStyle w:val="Compact"/>
            </w:pPr>
            <w:r>
              <w:t xml:space="preserve">Robust to within-pair serial correlation (Table 8, Test 3)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Instruments (Diff. GMM)</w:t>
            </w:r>
          </w:p>
        </w:tc>
        <w:tc>
          <w:tcPr/>
          <w:p>
            <w:pPr>
              <w:pStyle w:val="Compact"/>
            </w:pPr>
            <w:r>
              <w:t xml:space="preserve">11 instruments / 240 pairs (ratio = 0.046)</w:t>
            </w:r>
          </w:p>
        </w:tc>
        <w:tc>
          <w:tcPr/>
          <w:p>
            <w:pPr>
              <w:pStyle w:val="Compact"/>
            </w:pPr>
            <w:r>
              <w:t xml:space="preserve">Below Roodman (2009) N-instruments &lt; N-pairs rule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2026-07-14T10:30:16Z</dcterms:created>
  <dcterms:modified xsi:type="dcterms:W3CDTF">2026-07-14T10:30:16Z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