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9. Main Results: AIPI and Labor Income Share</w:t>
      </w:r>
    </w:p>
    <w:tbl>
      <w:tblPr>
        <w:tblStyle w:val="Table"/>
        <w:tblW w:type="pct" w:w="4851"/>
        <w:tblLayout w:type="fixed"/>
        <w:tblLook w:firstRow="1" w:lastRow="1" w:firstColumn="0" w:lastColumn="0" w:noHBand="0" w:noVBand="0" w:val="0020"/>
        <w:tblCaption w:val="Table 9. Main Results: AIPI and Labor Income Share"/>
      </w:tblPr>
      <w:tblGrid>
        <w:gridCol w:w="3191"/>
        <w:gridCol w:w="1004"/>
        <w:gridCol w:w="709"/>
        <w:gridCol w:w="1122"/>
        <w:gridCol w:w="709"/>
        <w:gridCol w:w="94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Pooled OLS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FE+Interact.</w:t>
            </w:r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FE-IV</w:t>
            </w:r>
          </w:p>
        </w:tc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Diff. GMM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(ln)</w:t>
            </w:r>
          </w:p>
        </w:tc>
        <w:tc>
          <w:tcPr/>
          <w:p>
            <w:pPr>
              <w:pStyle w:val="Compact"/>
            </w:pPr>
            <w:r>
              <w:t xml:space="preserve">0.0635***</w:t>
            </w:r>
          </w:p>
        </w:tc>
        <w:tc>
          <w:tcPr/>
          <w:p>
            <w:pPr>
              <w:pStyle w:val="Compact"/>
            </w:pPr>
            <w:r>
              <w:t xml:space="preserve">-0.0163</w:t>
            </w:r>
          </w:p>
        </w:tc>
        <w:tc>
          <w:tcPr/>
          <w:p>
            <w:pPr>
              <w:pStyle w:val="Compact"/>
            </w:pPr>
            <w:r>
              <w:t xml:space="preserve">-0.0110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(0.0186)</w:t>
            </w:r>
          </w:p>
        </w:tc>
        <w:tc>
          <w:tcPr/>
          <w:p>
            <w:pPr>
              <w:pStyle w:val="Compact"/>
            </w:pPr>
            <w:r>
              <w:t xml:space="preserve">(0.0160)</w:t>
            </w:r>
          </w:p>
        </w:tc>
        <w:tc>
          <w:tcPr/>
          <w:p>
            <w:pPr>
              <w:pStyle w:val="Compact"/>
            </w:pPr>
            <w:r>
              <w:t xml:space="preserve">(0.0153)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(0.0192)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(0.0255)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x High-capital dummy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-0.0058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Lagged labor share (t-1)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0.6509***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-0.0554</w:t>
            </w:r>
          </w:p>
        </w:tc>
        <w:tc>
          <w:tcPr/>
          <w:p>
            <w:pPr>
              <w:pStyle w:val="Compact"/>
            </w:pPr>
            <w:r>
              <w:t xml:space="preserve">-0.2455*</w:t>
            </w:r>
          </w:p>
        </w:tc>
        <w:tc>
          <w:tcPr/>
          <w:p>
            <w:pPr>
              <w:pStyle w:val="Compact"/>
            </w:pPr>
            <w:r>
              <w:t xml:space="preserve">-0.2471*</w:t>
            </w:r>
          </w:p>
        </w:tc>
        <w:tc>
          <w:tcPr/>
          <w:p>
            <w:pPr>
              <w:pStyle w:val="Compact"/>
            </w:pPr>
            <w:r>
              <w:t xml:space="preserve">-0.2376*</w:t>
            </w:r>
          </w:p>
        </w:tc>
        <w:tc>
          <w:tcPr/>
          <w:p>
            <w:pPr>
              <w:pStyle w:val="Compact"/>
            </w:pPr>
            <w:r>
              <w:t xml:space="preserve">-0.0972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(0.0676)</w:t>
            </w:r>
          </w:p>
        </w:tc>
        <w:tc>
          <w:tcPr/>
          <w:p>
            <w:pPr>
              <w:pStyle w:val="Compact"/>
            </w:pPr>
            <w:r>
              <w:t xml:space="preserve">(0.1333)</w:t>
            </w:r>
          </w:p>
        </w:tc>
        <w:tc>
          <w:tcPr/>
          <w:p>
            <w:pPr>
              <w:pStyle w:val="Compact"/>
            </w:pPr>
            <w:r>
              <w:t xml:space="preserve">(0.1336)</w:t>
            </w:r>
          </w:p>
        </w:tc>
        <w:tc>
          <w:tcPr/>
          <w:p>
            <w:pPr>
              <w:pStyle w:val="Compact"/>
            </w:pPr>
            <w:r>
              <w:t xml:space="preserve">(0.1353)</w:t>
            </w:r>
          </w:p>
        </w:tc>
        <w:tc>
          <w:tcPr/>
          <w:p>
            <w:pPr>
              <w:pStyle w:val="Compact"/>
            </w:pPr>
            <w:r>
              <w:t xml:space="preserve">(0.1494)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0.0017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0.0026</w:t>
            </w:r>
          </w:p>
        </w:tc>
        <w:tc>
          <w:tcPr/>
          <w:p>
            <w:pPr>
              <w:pStyle w:val="Compact"/>
            </w:pPr>
            <w:r>
              <w:t xml:space="preserve">-0.0014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(0.0020)</w:t>
            </w:r>
          </w:p>
        </w:tc>
        <w:tc>
          <w:tcPr/>
          <w:p>
            <w:pPr>
              <w:pStyle w:val="Compact"/>
            </w:pPr>
            <w:r>
              <w:t xml:space="preserve">(0.0041)</w:t>
            </w:r>
          </w:p>
        </w:tc>
        <w:tc>
          <w:tcPr/>
          <w:p>
            <w:pPr>
              <w:pStyle w:val="Compact"/>
            </w:pPr>
            <w:r>
              <w:t xml:space="preserve">(0.0041)</w:t>
            </w: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  <w:tc>
          <w:tcPr/>
          <w:p>
            <w:pPr>
              <w:pStyle w:val="Compact"/>
            </w:pPr>
            <w:r>
              <w:t xml:space="preserve">(0.0023)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-0.4332*</w:t>
            </w:r>
          </w:p>
        </w:tc>
        <w:tc>
          <w:tcPr/>
          <w:p>
            <w:pPr>
              <w:pStyle w:val="Compact"/>
            </w:pPr>
            <w:r>
              <w:t xml:space="preserve">0.6631***</w:t>
            </w:r>
          </w:p>
        </w:tc>
        <w:tc>
          <w:tcPr/>
          <w:p>
            <w:pPr>
              <w:pStyle w:val="Compact"/>
            </w:pPr>
            <w:r>
              <w:t xml:space="preserve">0.6682***</w:t>
            </w:r>
          </w:p>
        </w:tc>
        <w:tc>
          <w:tcPr/>
          <w:p>
            <w:pPr>
              <w:pStyle w:val="Compact"/>
            </w:pPr>
            <w:r>
              <w:t xml:space="preserve">0.6555***</w:t>
            </w:r>
          </w:p>
        </w:tc>
        <w:tc>
          <w:tcPr/>
          <w:p>
            <w:pPr>
              <w:pStyle w:val="Compact"/>
            </w:pPr>
            <w:r>
              <w:t xml:space="preserve">0.6370***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(0.2470)</w:t>
            </w:r>
          </w:p>
        </w:tc>
        <w:tc>
          <w:tcPr/>
          <w:p>
            <w:pPr>
              <w:pStyle w:val="Compact"/>
            </w:pPr>
            <w:r>
              <w:t xml:space="preserve">(0.1388)</w:t>
            </w:r>
          </w:p>
        </w:tc>
        <w:tc>
          <w:tcPr/>
          <w:p>
            <w:pPr>
              <w:pStyle w:val="Compact"/>
            </w:pPr>
            <w:r>
              <w:t xml:space="preserve">(0.1386)</w:t>
            </w:r>
          </w:p>
        </w:tc>
        <w:tc>
          <w:tcPr/>
          <w:p>
            <w:pPr>
              <w:pStyle w:val="Compact"/>
            </w:pPr>
            <w:r>
              <w:t xml:space="preserve">(0.1395)</w:t>
            </w:r>
          </w:p>
        </w:tc>
        <w:tc>
          <w:tcPr/>
          <w:p>
            <w:pPr>
              <w:pStyle w:val="Compact"/>
            </w:pPr>
            <w:r>
              <w:t xml:space="preserve">(0.1441)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0.0269</w:t>
            </w:r>
          </w:p>
        </w:tc>
        <w:tc>
          <w:tcPr/>
          <w:p>
            <w:pPr>
              <w:pStyle w:val="Compact"/>
            </w:pPr>
            <w:r>
              <w:t xml:space="preserve">0.0450**</w:t>
            </w:r>
          </w:p>
        </w:tc>
        <w:tc>
          <w:tcPr/>
          <w:p>
            <w:pPr>
              <w:pStyle w:val="Compact"/>
            </w:pPr>
            <w:r>
              <w:t xml:space="preserve">0.0454**</w:t>
            </w:r>
          </w:p>
        </w:tc>
        <w:tc>
          <w:tcPr/>
          <w:p>
            <w:pPr>
              <w:pStyle w:val="Compact"/>
            </w:pPr>
            <w:r>
              <w:t xml:space="preserve">0.0397*</w:t>
            </w:r>
          </w:p>
        </w:tc>
        <w:tc>
          <w:tcPr/>
          <w:p>
            <w:pPr>
              <w:pStyle w:val="Compact"/>
            </w:pPr>
            <w:r>
              <w:t xml:space="preserve">-0.0020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(0.0402)</w:t>
            </w:r>
          </w:p>
        </w:tc>
        <w:tc>
          <w:tcPr/>
          <w:p>
            <w:pPr>
              <w:pStyle w:val="Compact"/>
            </w:pPr>
            <w:r>
              <w:t xml:space="preserve">(0.0220)</w:t>
            </w:r>
          </w:p>
        </w:tc>
        <w:tc>
          <w:tcPr/>
          <w:p>
            <w:pPr>
              <w:pStyle w:val="Compact"/>
            </w:pPr>
            <w:r>
              <w:t xml:space="preserve">(0.0221)</w:t>
            </w:r>
          </w:p>
        </w:tc>
        <w:tc>
          <w:tcPr/>
          <w:p>
            <w:pPr>
              <w:pStyle w:val="Compact"/>
            </w:pPr>
            <w:r>
              <w:t xml:space="preserve">(0.0229)</w:t>
            </w:r>
          </w:p>
        </w:tc>
        <w:tc>
          <w:tcPr/>
          <w:p>
            <w:pPr>
              <w:pStyle w:val="Compact"/>
            </w:pPr>
            <w:r>
              <w:t xml:space="preserve">(0.0188)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-0.0000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  <w:tc>
          <w:tcPr/>
          <w:p>
            <w:pPr>
              <w:pStyle w:val="Compact"/>
            </w:pPr>
            <w:r>
              <w:t xml:space="preserve">-0.0011</w:t>
            </w:r>
          </w:p>
        </w:tc>
        <w:tc>
          <w:tcPr/>
          <w:p>
            <w:pPr>
              <w:pStyle w:val="Compact"/>
            </w:pPr>
            <w:r>
              <w:t xml:space="preserve">-0.0000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(0.0006)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0.0035</w:t>
            </w: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(0.0038)</w:t>
            </w: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  <w:tc>
          <w:tcPr/>
          <w:p>
            <w:pPr>
              <w:pStyle w:val="Compact"/>
            </w:pPr>
            <w:r>
              <w:t xml:space="preserve">(0.0032)</w:t>
            </w:r>
          </w:p>
        </w:tc>
        <w:tc>
          <w:tcPr/>
          <w:p>
            <w:pPr>
              <w:pStyle w:val="Compact"/>
            </w:pPr>
            <w:r>
              <w:t xml:space="preserve">(0.0023)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Dependent variable: ln(labor income share) = ln(LABR / VALU).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Col (0): Pooled OLS, no fixed effects (naive baseline; identification-strategy comparator).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Cols (1)-(3): Two-way FE (country-industry pair + year FE). Col (4): Two-step Difference GMM.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AIPI = ln(industry-weighted AI patent count + 1); weights from ALP CPC-to-ISIC crosswalk (A*10, division level).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FE-IV: instrument = AIPI_bartik (leave-one-out mean AI patents, other 24 OECD countries, same year).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Base category: HighCapital = 0 (below that country’s own median capital formation; country-specific threshold, STEP 4).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Cols (0)-(3): SE clustered at country-industry pair level; Col (4): two-step robust GMM SE.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0">
    <w:nsid w:val="00A99430"/>
    <w:multiLevelType w:val="multilevel"/>
    <w:lvl w:ilvl="0">
      <w:start w:val="0"/>
      <w:numFmt w:val="decimal"/>
      <w:lvlText w:val="(%1)"/>
      <w:lvlJc w:val="left"/>
      <w:pPr>
        <w:ind w:left="720" w:hanging="360"/>
      </w:pPr>
    </w:lvl>
    <w:lvl w:ilvl="1">
      <w:start w:val="0"/>
      <w:numFmt w:val="decimal"/>
      <w:lvlText w:val="(%2)"/>
      <w:lvlJc w:val="left"/>
      <w:pPr>
        <w:ind w:left="1440" w:hanging="360"/>
      </w:pPr>
    </w:lvl>
    <w:lvl w:ilvl="2">
      <w:start w:val="0"/>
      <w:numFmt w:val="decimal"/>
      <w:lvlText w:val="(%3)"/>
      <w:lvlJc w:val="left"/>
      <w:pPr>
        <w:ind w:left="2160" w:hanging="360"/>
      </w:pPr>
    </w:lvl>
    <w:lvl w:ilvl="3">
      <w:start w:val="0"/>
      <w:numFmt w:val="decimal"/>
      <w:lvlText w:val="(%4)"/>
      <w:lvlJc w:val="left"/>
      <w:pPr>
        <w:ind w:left="2880" w:hanging="360"/>
      </w:pPr>
    </w:lvl>
    <w:lvl w:ilvl="4">
      <w:start w:val="0"/>
      <w:numFmt w:val="decimal"/>
      <w:lvlText w:val="(%5)"/>
      <w:lvlJc w:val="left"/>
      <w:pPr>
        <w:ind w:left="3600" w:hanging="360"/>
      </w:pPr>
    </w:lvl>
    <w:lvl w:ilvl="5">
      <w:start w:val="0"/>
      <w:numFmt w:val="decimal"/>
      <w:lvlText w:val="(%6)"/>
      <w:lvlJc w:val="left"/>
      <w:pPr>
        <w:ind w:left="4320" w:hanging="360"/>
      </w:pPr>
    </w:lvl>
    <w:lvl w:ilvl="6">
      <w:start w:val="0"/>
      <w:numFmt w:val="decimal"/>
      <w:lvlText w:val="(%7)"/>
      <w:lvlJc w:val="left"/>
      <w:pPr>
        <w:ind w:left="5040" w:hanging="360"/>
      </w:pPr>
    </w:lvl>
    <w:lvl w:ilvl="7">
      <w:start w:val="0"/>
      <w:numFmt w:val="decimal"/>
      <w:lvlText w:val="(%8)"/>
      <w:lvlJc w:val="left"/>
      <w:pPr>
        <w:ind w:left="5760" w:hanging="360"/>
      </w:pPr>
    </w:lvl>
    <w:lvl w:ilvl="8">
      <w:start w:val="0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2026-07-14T10:34:17Z</dcterms:created>
  <dcterms:modified xsi:type="dcterms:W3CDTF">2026-07-14T10:34:17Z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