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9. Main Results: AIPI and Labor Income Share</w:t>
      </w:r>
    </w:p>
    <w:tbl>
      <w:tblPr>
        <w:tblStyle w:val="Table"/>
        <w:tblW w:type="pct" w:w="4851"/>
        <w:tblLayout w:type="fixed"/>
        <w:tblLook w:firstRow="1" w:lastRow="1" w:firstColumn="0" w:lastColumn="0" w:noHBand="0" w:noVBand="0" w:val="0020"/>
        <w:tblCaption w:val="Table 9. Main Results: AIPI and Labor Income Share"/>
      </w:tblPr>
      <w:tblGrid>
        <w:gridCol w:w="3191"/>
        <w:gridCol w:w="1004"/>
        <w:gridCol w:w="709"/>
        <w:gridCol w:w="1122"/>
        <w:gridCol w:w="709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Pooled OLS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FE+Interact.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FE-IV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Diff. GMM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0.0635***</w:t>
            </w:r>
          </w:p>
        </w:tc>
        <w:tc>
          <w:tcPr/>
          <w:p>
            <w:pPr>
              <w:pStyle w:val="Compact"/>
            </w:pPr>
            <w:r>
              <w:t xml:space="preserve">-0.0163</w:t>
            </w:r>
          </w:p>
        </w:tc>
        <w:tc>
          <w:tcPr/>
          <w:p>
            <w:pPr>
              <w:pStyle w:val="Compact"/>
            </w:pPr>
            <w:r>
              <w:t xml:space="preserve">-0.0110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(0.0186)</w:t>
            </w:r>
          </w:p>
        </w:tc>
        <w:tc>
          <w:tcPr/>
          <w:p>
            <w:pPr>
              <w:pStyle w:val="Compact"/>
            </w:pPr>
            <w:r>
              <w:t xml:space="preserve">(0.0160)</w:t>
            </w:r>
          </w:p>
        </w:tc>
        <w:tc>
          <w:tcPr/>
          <w:p>
            <w:pPr>
              <w:pStyle w:val="Compact"/>
            </w:pPr>
            <w:r>
              <w:t xml:space="preserve">(0.0153)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High-capital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Lagged labor share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-0.0554</w:t>
            </w:r>
          </w:p>
        </w:tc>
        <w:tc>
          <w:tcPr/>
          <w:p>
            <w:pPr>
              <w:pStyle w:val="Compact"/>
            </w:pPr>
            <w:r>
              <w:t xml:space="preserve">-0.2455*</w:t>
            </w:r>
          </w:p>
        </w:tc>
        <w:tc>
          <w:tcPr/>
          <w:p>
            <w:pPr>
              <w:pStyle w:val="Compact"/>
            </w:pPr>
            <w:r>
              <w:t xml:space="preserve">-0.2471*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-0.0972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(0.0676)</w:t>
            </w:r>
          </w:p>
        </w:tc>
        <w:tc>
          <w:tcPr/>
          <w:p>
            <w:pPr>
              <w:pStyle w:val="Compact"/>
            </w:pPr>
            <w:r>
              <w:t xml:space="preserve">(0.1333)</w:t>
            </w:r>
          </w:p>
        </w:tc>
        <w:tc>
          <w:tcPr/>
          <w:p>
            <w:pPr>
              <w:pStyle w:val="Compact"/>
            </w:pPr>
            <w:r>
              <w:t xml:space="preserve">(0.1336)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(0.1494)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0.0017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-0.0014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-0.4332*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0.6682***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0.6370***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(0.2470)</w:t>
            </w: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(0.1386)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(0.1441)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0.0269</w:t>
            </w:r>
          </w:p>
        </w:tc>
        <w:tc>
          <w:tcPr/>
          <w:p>
            <w:pPr>
              <w:pStyle w:val="Compact"/>
            </w:pPr>
            <w:r>
              <w:t xml:space="preserve">0.0450**</w:t>
            </w:r>
          </w:p>
        </w:tc>
        <w:tc>
          <w:tcPr/>
          <w:p>
            <w:pPr>
              <w:pStyle w:val="Compact"/>
            </w:pPr>
            <w:r>
              <w:t xml:space="preserve">0.0454**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(0.0402)</w:t>
            </w: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(0.0006)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0.0035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Dependent variable: ln(labor income share) = ln(LABR / VALU).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 (0): Pooled OLS, no fixed effects (naive baseline; identification-strategy comparator).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(1)-(3): Two-way FE (country-industry pair + year FE). Col (4): Two-step Difference GMM.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AIPI = ln(industry-weighted AI patent count + 1); weights from ALP CPC-to-ISIC crosswalk (A*10, division level).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FE-IV: instrument = AIPI_bartik (leave-one-out mean AI patents, other 24 OECD countries, same year).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Base category: HighCapital = 0 (below that country’s own median capital formation; country-specific threshold, STEP 4).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(0)-(3): SE clustered at country-industry pair level; Col (4): two-step robust GMM SE.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2026-07-22T06:29:41Z</dcterms:created>
  <dcterms:modified xsi:type="dcterms:W3CDTF">2026-07-22T06:29:41Z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