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S1. Main FE-IV Estimates Across Parts A-C: Technology, Environment, Productivity and Distribution (OECD vs EM)</w:t>
      </w:r>
    </w:p>
    <w:tbl>
      <w:tblPr>
        <w:tblStyle w:val="Table"/>
        <w:tblW w:type="pct" w:w="4881"/>
        <w:tblLayout w:type="fixed"/>
        <w:tblLook w:firstRow="1" w:lastRow="1" w:firstColumn="0" w:lastColumn="0" w:noHBand="0" w:noVBand="0" w:val="0020"/>
        <w:tblCaption w:val="Table S1. Main FE-IV Estimates Across Parts A-C: Technology, Environment, Productivity and Distribution (OECD vs EM)"/>
      </w:tblPr>
      <w:tblGrid>
        <w:gridCol w:w="1470"/>
        <w:gridCol w:w="1056"/>
        <w:gridCol w:w="980"/>
        <w:gridCol w:w="1056"/>
        <w:gridCol w:w="980"/>
        <w:gridCol w:w="1131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Part A OECD: CO2 int.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Part A EM: CO2 int.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Part B OECD: Product.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Part B EM: Product.</w:t>
            </w:r>
          </w:p>
        </w:tc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Part C OECD: Lab. share</w:t>
            </w:r>
          </w:p>
        </w:tc>
        <w:tc>
          <w:tcPr/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Part C EM: Lab.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[OECD]</w:t>
            </w:r>
          </w:p>
        </w:tc>
        <w:tc>
          <w:tcPr/>
          <w:p>
            <w:pPr>
              <w:pStyle w:val="Compact"/>
            </w:pPr>
            <w:r>
              <w:t xml:space="preserve">-0.096***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(0.695)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Tech Intensity (ln, IV) [OECD]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0.019***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Green Tech Intensity (ln, IV)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-0.259</w:t>
            </w:r>
          </w:p>
        </w:tc>
        <w:tc>
          <w:tcPr/>
          <w:p>
            <w:pPr>
              <w:pStyle w:val="Compact"/>
            </w:pPr>
            <w:r>
              <w:t xml:space="preserve">-0.567</w:t>
            </w:r>
          </w:p>
        </w:tc>
        <w:tc>
          <w:tcPr/>
          <w:p>
            <w:pPr>
              <w:pStyle w:val="Compact"/>
            </w:pPr>
            <w:r>
              <w:t xml:space="preserve">0.515*</w:t>
            </w:r>
          </w:p>
        </w:tc>
        <w:tc>
          <w:tcPr/>
          <w:p>
            <w:pPr>
              <w:pStyle w:val="Compact"/>
            </w:pPr>
            <w:r>
              <w:t xml:space="preserve">0.857**</w:t>
            </w:r>
          </w:p>
        </w:tc>
        <w:tc>
          <w:tcPr/>
          <w:p>
            <w:pPr>
              <w:pStyle w:val="Compact"/>
            </w:pPr>
            <w:r>
              <w:t xml:space="preserve">-0.238*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(0.275)</w:t>
            </w:r>
          </w:p>
        </w:tc>
        <w:tc>
          <w:tcPr/>
          <w:p>
            <w:pPr>
              <w:pStyle w:val="Compact"/>
            </w:pPr>
            <w:r>
              <w:t xml:space="preserve">(0.671)</w:t>
            </w:r>
          </w:p>
        </w:tc>
        <w:tc>
          <w:tcPr/>
          <w:p>
            <w:pPr>
              <w:pStyle w:val="Compact"/>
            </w:pPr>
            <w:r>
              <w:t xml:space="preserve">(0.266)</w:t>
            </w:r>
          </w:p>
        </w:tc>
        <w:tc>
          <w:tcPr/>
          <w:p>
            <w:pPr>
              <w:pStyle w:val="Compact"/>
            </w:pPr>
            <w:r>
              <w:t xml:space="preserve">(0.339)</w:t>
            </w:r>
          </w:p>
        </w:tc>
        <w:tc>
          <w:tcPr/>
          <w:p>
            <w:pPr>
              <w:pStyle w:val="Compact"/>
            </w:pPr>
            <w:r>
              <w:t xml:space="preserve">(0.135)</w:t>
            </w:r>
          </w:p>
        </w:tc>
        <w:tc>
          <w:tcPr/>
          <w:p>
            <w:pPr>
              <w:pStyle w:val="Compact"/>
            </w:pPr>
            <w:r>
              <w:t xml:space="preserve">(0.393)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-0.020**</w:t>
            </w:r>
          </w:p>
        </w:tc>
        <w:tc>
          <w:tcPr/>
          <w:p>
            <w:pPr>
              <w:pStyle w:val="Compact"/>
            </w:pPr>
            <w:r>
              <w:t xml:space="preserve">-0.024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</w:t>
            </w:r>
          </w:p>
        </w:tc>
        <w:tc>
          <w:tcPr/>
          <w:p>
            <w:pPr>
              <w:pStyle w:val="Compact"/>
            </w:pPr>
            <w:r>
              <w:t xml:space="preserve">0.403**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-0.391**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0.655***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-0.132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-0.605*</w:t>
            </w:r>
          </w:p>
        </w:tc>
        <w:tc>
          <w:tcPr/>
          <w:p>
            <w:pPr>
              <w:pStyle w:val="Compact"/>
            </w:pPr>
            <w:r>
              <w:t xml:space="preserve">0.040*</w:t>
            </w:r>
          </w:p>
        </w:tc>
        <w:tc>
          <w:tcPr/>
          <w:p>
            <w:pPr>
              <w:pStyle w:val="Compact"/>
            </w:pPr>
            <w:r>
              <w:t xml:space="preserve">-0.180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  <w:tc>
          <w:tcPr/>
          <w:p>
            <w:pPr>
              <w:pStyle w:val="Compact"/>
            </w:pPr>
            <w:r>
              <w:t xml:space="preserve">(0.558)</w:t>
            </w:r>
          </w:p>
        </w:tc>
        <w:tc>
          <w:tcPr/>
          <w:p>
            <w:pPr>
              <w:pStyle w:val="Compact"/>
            </w:pPr>
            <w:r>
              <w:t xml:space="preserve">(0.031)</w:t>
            </w:r>
          </w:p>
        </w:tc>
        <w:tc>
          <w:tcPr/>
          <w:p>
            <w:pPr>
              <w:pStyle w:val="Compact"/>
            </w:pPr>
            <w:r>
              <w:t xml:space="preserve">(0.338)</w:t>
            </w:r>
          </w:p>
        </w:tc>
        <w:tc>
          <w:tcPr/>
          <w:p>
            <w:pPr>
              <w:pStyle w:val="Compact"/>
            </w:pPr>
            <w:r>
              <w:t xml:space="preserve">(0.023)</w:t>
            </w:r>
          </w:p>
        </w:tc>
        <w:tc>
          <w:tcPr/>
          <w:p>
            <w:pPr>
              <w:pStyle w:val="Compact"/>
            </w:pPr>
            <w:r>
              <w:t xml:space="preserve">(0.228)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GDP)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Broadband (per 100)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-0.008**</w:t>
            </w:r>
          </w:p>
        </w:tc>
        <w:tc>
          <w:tcPr/>
          <w:p>
            <w:pPr>
              <w:pStyle w:val="Compact"/>
            </w:pPr>
            <w:r>
              <w:t xml:space="preserve">0.019**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Tertiary enrollment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Governance (WGI)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(0.433)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936</w:t>
            </w:r>
          </w:p>
        </w:tc>
        <w:tc>
          <w:tcPr/>
          <w:p>
            <w:pPr>
              <w:pStyle w:val="Compact"/>
            </w:pPr>
            <w:r>
              <w:t xml:space="preserve">591</w:t>
            </w:r>
          </w:p>
        </w:tc>
        <w:tc>
          <w:tcPr/>
          <w:p>
            <w:pPr>
              <w:pStyle w:val="Compact"/>
            </w:pPr>
            <w:r>
              <w:t xml:space="preserve">1847</w:t>
            </w:r>
          </w:p>
        </w:tc>
        <w:tc>
          <w:tcPr/>
          <w:p>
            <w:pPr>
              <w:pStyle w:val="Compact"/>
            </w:pPr>
            <w:r>
              <w:t xml:space="preserve">536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Each column re-estimates the MAIN FE-IV specification of the corresponding part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from its final clean panel (identical formula, sample filter, clustering).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Part A: AIPI -&gt; ln CO2 emission intensity (EDGAR / STAN, UNIDO for EM).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Part B: ln GTI (green patents) -&gt; ln labour productivity (ENV-TECH OECD; WIPO Field 24 EM).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Part C: AIPI -&gt; ln labour income share (STAN D1/B1G OECD; UNIDO Wages/VA EM).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Samples, industry scopes and IVs differ BY DESIGN across parts - compare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signs and elasticities, not levels. SE clustered at pair level. Alpha = 0.10.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p&lt;0.10, ** p&lt;0.05, *** p&lt;0.01.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2026-07-22T06:29:58Z</dcterms:created>
  <dcterms:modified xsi:type="dcterms:W3CDTF">2026-07-22T06:29:58Z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