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b/>
          <w:sz w:val="32"/>
        </w:rPr>
        <w:t>Artificial Intelligence and the Labor Income Share: Evidence from OECD and Emerging-Market Industries, with a Focus on Vietnam and Southeast Asia</w:t>
      </w:r>
    </w:p>
    <w:p>
      <w:pPr>
        <w:jc w:val="center"/>
      </w:pPr>
      <w:r>
        <w:rPr>
          <w:sz w:val="24"/>
        </w:rPr>
        <w:t>Tran Chanh Truc and Nguyen Ngoc Xuan Thao</w:t>
      </w:r>
    </w:p>
    <w:p>
      <w:pPr>
        <w:jc w:val="center"/>
      </w:pPr>
      <w:r>
        <w:rPr>
          <w:i/>
          <w:sz w:val="22"/>
        </w:rPr>
        <w:t>MAE 32, University of Economics Ho Chi Minh City - Vietnam-Netherlands Programme (UEH-VNP)</w:t>
      </w:r>
    </w:p>
    <w:p/>
    <w:p>
      <w:pPr>
        <w:pStyle w:val="Heading1"/>
        <w:pageBreakBefore w:val="0"/>
      </w:pPr>
      <w:r>
        <w:t>Abstract</w:t>
      </w:r>
    </w:p>
    <w:p>
      <w:r>
        <w:t>This chapter asks how artificial intelligence (AI) adoption reshapes structural outcomes across three margins: the environment, efficiency, and distribution. Using a common AI Patent Intensity measure and a fixed-effects instrumental-variable (FE-IV) design applied to matched OECD and emerging-market (EM) country-industry panels (2010-2022), we show that AI's environmental and efficiency effects in the OECD panel are precisely estimated and favorable: AI patent intensity lowers carbon emission intensity, while green technology intensity raises labor productivity, more strongly within ASEAN. The distributional margin, our focus, is more delicate: AI patent intensity has no detectable net effect on the OECD labor income share, but this null decomposes into a significant employment gain almost fully offset by a significant wage discount. For Vietnam and Southeast Asia, where AI-patent data remain sparse, we discuss what these OECD-based channel results imply for technology-upgrading policy in a middle-income setting.</w:t>
      </w:r>
    </w:p>
    <w:p>
      <w:pPr>
        <w:pStyle w:val="Heading1"/>
      </w:pPr>
      <w:r>
        <w:t>1. Background</w:t>
      </w:r>
    </w:p>
    <w:p>
      <w:r>
        <w:t>Artificial intelligence and green technology are both general-purpose technologies: innovations broad and fast-improving enough to reshape production well beyond the sector in which they first appear (Bresnahan and Trajtenberg, 1995; Brynjolfsson, Rock and Syverson, 2021). AI reorganizes tasks within production, automating some functions while creating demand for others (Acemoglu and Restrepo, 2020, 2022); green technology shifts the input mix toward lower-emission techniques (Popp, 2019; Albrizio, Kozluk and Zipperer, 2017). How these two forces intersect with the structure of production matters because the answer determines who benefits from technological change and who bears its costs.</w:t>
      </w:r>
    </w:p>
    <w:p>
      <w:r>
        <w:t>This chapter treats three margins of structural change side by side, using one common technology-intensity framework, so that no single margin over- or understates the net welfare effect of the transition: the environmental margin (AI patent intensity and carbon emission intensity), the efficiency margin (green technology intensity and labor productivity), and the distributional margin (AI patent intensity and the labor income share). The distributional margin is our central focus, because it speaks directly to whether the gains from AI adoption are shared with labor or captured elsewhere.</w:t>
      </w:r>
    </w:p>
    <w:p>
      <w:r>
        <w:t>Technology adoption and structural transformation look different across development levels. OECD economies are technology-mature adopters, with AI and green-technology patenting concentrated there and industry, environmental, and labor-market data that are granular and complete. Emerging-market (EM) economies are technology-adopting latecomers in the catch-up sense (Gerschenkron, 1962; Perez and Soete, 1988): they import frontier technology more than generate it. How a common technological force propagates differently across a mature OECD panel and a catching-up EM panel speaks directly to this course's technology-upgrading and middle-income-trap themes.</w:t>
      </w:r>
    </w:p>
    <w:p>
      <w:r>
        <w:t>Vietnam occupies a distinctive position in this picture. It has moved deep into global manufacturing value chains, hosting assembly and processing for multinational electronics, textile, and machinery firms, while holding a public 2050 net-zero commitment. Vietnamese-applicant AI patent filings, however, are too sparse to construct even an unbalanced industry-level AI-patent series, so Vietnam and most of Southeast Asia are only lightly represented in the AI-patent panel used here (entering mainly through a secondary, WIPO-based measure rather than the primary EPO-based one). This chapter's contribution is therefore twofold: it applies a single, unified FE-IV framework across three margins on a common OECD/EM sample; and it uses that framework's OECD-based channel results, together with what EM/ASEAN evidence is available, to draw out implications for Vietnam even where direct Vietnamese AI-patent data are not yet usable. More broadly, comparing a technology-mature OECD panel against a catching-up EM panel on the identical specification is itself a contribution to the technology-upgrading literature beyond this chapter's specific outcomes: it offers a template for asking, for any general-purpose technology and any middle-income economy, whether the direction and channel structure of an advanced-economy effect actually generalizes to a catching-up setting, rather than assuming it does by default.</w:t>
      </w:r>
    </w:p>
    <w:p>
      <w:r>
        <w:t>Three research questions organize the empirical work. RQ1: does AI patent intensity raise or lower carbon emission intensity, and does the relationship differ between the OECD and EM panels? RQ2: does green technology intensity raise labor productivity, and is the effect larger where AI exposure is high? RQ3: does AI patent intensity change the labor income share, and if the net effect is small, what wage and employment channels lie beneath it?</w:t>
      </w:r>
    </w:p>
    <w:p>
      <w:r>
        <w:t>The three research questions are deliberately nested rather than independent: each asks the same underlying question - who gains and who bears the cost when a common technology-intensity shock hits a country-industry pair - from a different angle. Answering all three with the same estimator, sample architecture, and instrument construction is what allows this chapter to compare signs and precision across margins in Section 6, rather than treating each margin as a self-contained result to be read in isolation from the other two.</w:t>
      </w:r>
    </w:p>
    <w:p>
      <w:pPr>
        <w:pStyle w:val="Heading1"/>
      </w:pPr>
      <w:r>
        <w:t>2. Theoretical Framework</w:t>
      </w:r>
    </w:p>
    <w:p>
      <w:r>
        <w:t>The task-based framework of Acemoglu and Restrepo (2020, Journal of Political Economy; 2022, Econometrica) organizes all three empirical margins studied here. New automation technology reallocates tasks between capital and labor through three partly offsetting channels. The displacement effect occurs where technology takes over tasks previously performed by labor, mechanically lowering labor's share of value added and, if the displaced tasks were energy-intensive, emission intensity too. The productivity effect lowers the effective cost of production, raising output and, other things equal, derived demand for labor in remaining tasks. The reinstatement effect creates entirely new tasks in which labor retains a comparative advantage, raising both employment and, if wages are competitive, labor's share. Because these channels can move in different directions and at different speeds, the framework predicts no unambiguous a priori sign for AI's net effect on any of the three margins studied here: the net effect is an empirical question, and decomposing an aggregate estimate into its channels can be more informative than the aggregate alone. This is exactly the logic followed for the labor-share margin below (Section 6), where we decompose the near-zero net effect into its wage and employment components.</w:t>
      </w:r>
    </w:p>
    <w:p>
      <w:r>
        <w:t>For the distributional margin specifically, this chapter follows the accounting identity that the labor income share equals the average wage times employment, divided by value added: ln(labor share) = ln(average wage) + ln(employment) - ln(value added). Because this identity is exact, the FE-IV coefficient on AI patent intensity in a labor-share regression must equal the sum of the corresponding coefficients from wage, employment, and value-added regressions estimated on the identical sample and specification. This gives a direct, internally consistent way to ask why an aggregate labor-share effect is small: a true absence of any channel activity, or offsetting channels that happen to cancel.</w:t>
      </w:r>
    </w:p>
    <w:p>
      <w:r>
        <w:t>For the environmental and efficiency margins, this framework motivates two complementary literatures used as controls and comparators: the Porter-hypothesis literature on whether environmental-technology adoption and productivity are complementary rather than competing (Porter and van der Linde, 1995; Popp, 2019), and the robots-and-labor-markets literature showing technology effects on employment and wages differ by task exposure (Graetz and Michaels, 2018; Acemoglu and Restrepo, 2020). Both margins share the same identification concern as the labor-share margin: AI and green-technology adoption are plausibly endogenous to unobserved industry-level shocks, motivating the shift-share instrument described in Section 3.</w:t>
      </w:r>
    </w:p>
    <w:p>
      <w:r>
        <w:t>The distributional margin also sits within a longer-running literature on the global decline of the labor share (Karabarbounis and Neiman, 2014; Rognlie, 2015), which links falling labor shares to capital-biased technical change and, in the United States, to the rise of highly productive superstar firms that pay a smaller share of revenue to labor even as their absolute output grows (Autor et al., 2020). This chapter's contribution to that literature is the channel decomposition itself: rather than asking only whether AI adoption raises or lowers the labor share on net, it asks which of the wage and employment channels identified in that literature are actually moving, using the same FE-IV specification and instrument for all three mechanism regressions so the decomposition is an exact accounting exercise rather than a set of separately estimated, potentially inconsistent effects.</w:t>
      </w:r>
    </w:p>
    <w:p>
      <w:pPr>
        <w:pStyle w:val="Heading1"/>
      </w:pPr>
      <w:r>
        <w:t>3. Data</w:t>
      </w:r>
    </w:p>
    <w:p>
      <w:r>
        <w:t>The empirical work draws on three matched country-industry panels covering 2010-2022, one per margin, built from a common technology-intensity architecture so that results are comparable across margins.</w:t>
      </w:r>
    </w:p>
    <w:p>
      <w:r>
        <w:t>AI Patent Intensity (AIPI), the key regressor for the environmental and distributional margins, is constructed from EPO priority-filing AI patent counts, industry-weighted using an Algorithmic Links with Probabilities (ALP) patent-to-industry crosswalk (Lybbert and Zolas, 2014) at the ISIC/STAN A*10 level. Green Technology Intensity (GTI), the key regressor for the efficiency margin, is constructed analogously from OECD ENV-TECH (CPC Y02) green-patent counts per unit of value added.</w:t>
      </w:r>
    </w:p>
    <w:p>
      <w:r>
        <w:t>For the OECD panel, industry-level outcome, control, and technology-intensity variables are drawn from OECD STAN (industrial statistics), EDGAR (CO2 emissions), OECD ENV-TECH and AI Patents databases, and the World Bank's World Development Indicators and Worldwide Governance Indicators, yielding an unbalanced panel of 25 OECD countries across three to ten industries depending on the margin (Table 1). For the emerging-market extension, UNIDO INDSTAT4 supplies the labor-share and productivity outcome series, and a WIPO-based AI/green-patent measure substitutes for the EPO-based one, which is essential for including Vietnam and several ASEAN countries: Vietnamese-applicant AI patent filings are too sparse under the primary EPO-based measure to construct even an unbalanced industry series, so Vietnam enters the sample only through this secondary WIPO-based route (Table 1 reports the resulting sample architecture; a robustness check using this alternative source is summarized in Section 6).</w:t>
      </w:r>
    </w:p>
    <w:p>
      <w:r>
        <w:t>The instrument for both AIPI and GTI is a Bartik-style shift-share construction (Goldsmith-Pinkham, Sorkin and Swift, 2020): each industry's own-country technology intensity is instrumented with the leave-one-out mean intensity of the same industry across the other OECD countries in the same year, exploiting common global technology-diffusion timing while excluding the country's own contribution.</w:t>
      </w:r>
    </w:p>
    <w:p>
      <w:r>
        <w:t>Sample sizes differ across margins by design, reflecting each outcome's own data-coverage limits rather than a common restriction. The environmental margin's OECD panel pairs 25 countries with three ISIC sections (Manufacturing, Energy, Transport), yielding 75 pairs and roughly 930 country-industry-year observations; the efficiency and distributional margins extend to a wider seven- to ten-industry OECD scope (STAN A*10), yielding correspondingly larger pair counts (up to 250 pairs) but a similarly bounded 2010-2022 window. The emerging-market extension is unbalanced by construction: UNIDO INDSTAT4's industrial coverage varies by country and year, and mainland China and South Africa are entirely absent from the labor-share panel because INDSTAT4 does not report the value-added series their labor-share construction requires - a meaningful gap given China's centrality to global manufacturing, disclosed here as a data limitation rather than a deliberate exclusion.</w:t>
      </w:r>
    </w:p>
    <w:p>
      <w:r>
        <w:t>Pooled descriptive statistics for the key regressors and outcomes give a sense of scale before turning to the regression results: AI Patent Intensity (logged) averages 1.41 in the three-industry environmental-margin panel and 0.91 in the ten-industry distributional-margin panel, reflecting different industry-classification denominators rather than a real change in AI patenting activity; the labor income share (logged, wages-to-value-added) averages -0.84 across the OECD panel, a raw labor share of roughly 43 percent of value added, consistent with published OECD series. Over 2010-2022, OECD carbon intensity trends gently downward, labor productivity trends upward, and the labor income share is essentially flat - a pattern that foreshadows the offsetting-channels result in Section 6.</w:t>
      </w:r>
    </w:p>
    <w:p>
      <w:r>
        <w:t>Table 1 (below) reports the resulting sample architecture and headline FE-IV point estimates across all three margins side by side, so the differing country/industry/observation counts by margin and panel are visible before turning to the main results.</w:t>
      </w:r>
    </w:p>
    <w:p/>
    <w:p>
      <w:pPr>
        <w:pStyle w:val="Caption"/>
        <w:jc w:val="center"/>
      </w:pPr>
      <w:r>
        <w:t>Table 1. Sample Architecture and Headline FE-IV Estimates Across Parts A-C</w:t>
      </w:r>
    </w:p>
    <w:p>
      <w:pPr>
        <w:pStyle w:val="Heading1"/>
      </w:pPr>
      <w:r>
        <w:t>4. Model</w:t>
      </w:r>
    </w:p>
    <w:p>
      <w:r>
        <w:t>Each margin follows the same baseline / first-stage / second-stage structure, so every coefficient reported in Section 6 traces back to a fully specified two-way fixed-effects instrumental-variable (FE-IV) model. Because the labor-share margin is this chapter's focus, its full specification is given here; the environmental and efficiency margins use the identical FE-IV structure with the same instrument construction, differing only in outcome and technology-intensity regressor (Table 2 reports all three side by side).</w:t>
      </w:r>
    </w:p>
    <w:p>
      <w:r>
        <w:rPr>
          <w:b/>
        </w:rPr>
        <w:t>Baseline specification (labor income share).</w:t>
      </w:r>
      <w:r>
        <w:t xml:space="preserve"> For country-industry pair i and year t:</w:t>
      </w:r>
    </w:p>
    <w:p>
      <w:pPr>
        <w:jc w:val="center"/>
      </w:pPr>
      <w:r>
        <w:t xml:space="preserve">ln(</w:t>
      </w:r>
      <m:oMath>
        <m:sSub>
          <m:sSubPr>
            <m:ctrlPr>
              <w:rPr>
                <w:i/>
              </w:rPr>
            </m:ctrlPr>
          </m:sSubPr>
          <m:e>
            <m:r>
              <m:rPr>
                <w:rFonts w:ascii="Cambria Math" w:hAnsi="Cambria Math"/>
              </m:rPr>
              <m:t>LaborShare</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1</m:t>
            </m:r>
          </m:sub>
        </m:sSub>
      </m:oMath>
      <w:r>
        <w:t xml:space="preserve"> </w:t>
      </w:r>
      <m:oMath>
        <m:sSub>
          <m:sSubPr>
            <m:ctrlPr>
              <w:rPr>
                <w:i/>
              </w:rPr>
            </m:ctrlPr>
          </m:sSubPr>
          <m:e>
            <m:r>
              <m:rPr>
                <w:rFonts w:ascii="Cambria Math" w:hAnsi="Cambria Math"/>
              </m:rPr>
              <m:t>AIPI</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2</m:t>
            </m:r>
          </m:sub>
        </m:sSub>
      </m:oMath>
      <w:r>
        <w:t xml:space="preserve"> (</w:t>
      </w:r>
      <m:oMath>
        <m:sSub>
          <m:sSubPr>
            <m:ctrlPr>
              <w:rPr>
                <w:i/>
              </w:rPr>
            </m:ctrlPr>
          </m:sSubPr>
          <m:e>
            <m:r>
              <m:rPr>
                <w:rFonts w:ascii="Cambria Math" w:hAnsi="Cambria Math"/>
              </m:rPr>
              <m:t>AIPI</m:t>
            </m:r>
          </m:e>
          <m:sub>
            <m:r>
              <m:rPr>
                <w:rFonts w:ascii="Cambria Math" w:hAnsi="Cambria Math"/>
              </m:rPr>
              <m:t>it</m:t>
            </m:r>
          </m:sub>
        </m:sSub>
      </m:oMath>
      <w:r>
        <w:t xml:space="preserve"> x </w:t>
      </w:r>
      <m:oMath>
        <m:sSub>
          <m:sSubPr>
            <m:ctrlPr>
              <w:rPr>
                <w:i/>
              </w:rPr>
            </m:ctrlPr>
          </m:sSubPr>
          <m:e>
            <m:r>
              <m:rPr>
                <w:rFonts w:ascii="Cambria Math" w:hAnsi="Cambria Math"/>
              </m:rPr>
              <m:t>HighCapital</m:t>
            </m:r>
          </m:e>
          <m:sub>
            <m:r>
              <m:rPr>
                <w:rFonts w:ascii="Cambria Math" w:hAnsi="Cambria Math"/>
              </m:rPr>
              <m:t>i</m:t>
            </m:r>
          </m:sub>
        </m:sSub>
      </m:oMath>
      <w:r>
        <w:t xml:space="preserve">) + </w:t>
      </w:r>
      <m:oMath>
        <m:sSub>
          <m:sSubPr>
            <m:ctrlPr>
              <w:rPr>
                <w:i/>
              </w:rPr>
            </m:ctrlPr>
          </m:sSubPr>
          <m:e>
            <m:r>
              <m:rPr>
                <w:rFonts w:ascii="Cambria Math" w:hAnsi="Cambria Math"/>
              </m:rPr>
              <m:t>β</m:t>
            </m:r>
          </m:e>
          <m:sub>
            <m:r>
              <m:rPr>
                <w:rFonts w:ascii="Cambria Math" w:hAnsi="Cambria Math"/>
              </m:rPr>
              <m:t>3</m:t>
            </m:r>
          </m:sub>
        </m:sSub>
      </m:oMath>
      <w:r>
        <w:t xml:space="preserve"> ln(</w:t>
      </w:r>
      <m:oMath>
        <m:sSub>
          <m:sSubPr>
            <m:ctrlPr>
              <w:rPr>
                <w:i/>
              </w:rPr>
            </m:ctrlPr>
          </m:sSubPr>
          <m:e>
            <m:r>
              <m:rPr>
                <w:rFonts w:ascii="Cambria Math" w:hAnsi="Cambria Math"/>
              </m:rPr>
              <m:t>GDPpc</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4</m:t>
            </m:r>
          </m:sub>
        </m:sSub>
      </m:oMath>
      <w:r>
        <w:t xml:space="preserve"> </w:t>
      </w:r>
      <m:oMath>
        <m:sSub>
          <m:sSubPr>
            <m:ctrlPr>
              <w:rPr>
                <w:i/>
              </w:rPr>
            </m:ctrlPr>
          </m:sSubPr>
          <m:e>
            <m:r>
              <m:rPr>
                <w:rFonts w:ascii="Cambria Math" w:hAnsi="Cambria Math"/>
              </m:rPr>
              <m:t>Renew</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5</m:t>
            </m:r>
          </m:sub>
        </m:sSub>
      </m:oMath>
      <w:r>
        <w:t xml:space="preserve"> </w:t>
      </w:r>
      <m:oMath>
        <m:sSub>
          <m:sSubPr>
            <m:ctrlPr>
              <w:rPr>
                <w:i/>
              </w:rPr>
            </m:ctrlPr>
          </m:sSubPr>
          <m:e>
            <m:r>
              <m:rPr>
                <w:rFonts w:ascii="Cambria Math" w:hAnsi="Cambria Math"/>
              </m:rPr>
              <m:t>CapForm</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6</m:t>
            </m:r>
          </m:sub>
        </m:sSub>
      </m:oMath>
      <w:r>
        <w:t xml:space="preserve"> </w:t>
      </w:r>
      <m:oMath>
        <m:sSub>
          <m:sSubPr>
            <m:ctrlPr>
              <w:rPr>
                <w:i/>
              </w:rPr>
            </m:ctrlPr>
          </m:sSubPr>
          <m:e>
            <m:r>
              <m:rPr>
                <w:rFonts w:ascii="Cambria Math" w:hAnsi="Cambria Math"/>
              </m:rPr>
              <m:t>RD</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7</m:t>
            </m:r>
          </m:sub>
        </m:sSub>
      </m:oMath>
      <w:r>
        <w:t xml:space="preserve"> </w:t>
      </w:r>
      <m:oMath>
        <m:sSub>
          <m:sSubPr>
            <m:ctrlPr>
              <w:rPr>
                <w:i/>
              </w:rPr>
            </m:ctrlPr>
          </m:sSubPr>
          <m:e>
            <m:r>
              <m:rPr>
                <w:rFonts w:ascii="Cambria Math" w:hAnsi="Cambria Math"/>
              </m:rPr>
              <m:t>Trade</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8</m:t>
            </m:r>
          </m:sub>
        </m:sSub>
      </m:oMath>
      <w:r>
        <w:t xml:space="preserve"> </w:t>
      </w:r>
      <m:oMath>
        <m:sSub>
          <m:sSubPr>
            <m:ctrlPr>
              <w:rPr>
                <w:i/>
              </w:rPr>
            </m:ctrlPr>
          </m:sSubPr>
          <m:e>
            <m:r>
              <m:rPr>
                <w:rFonts w:ascii="Cambria Math" w:hAnsi="Cambria Math"/>
              </m:rPr>
              <m:t>Broadband</m:t>
            </m:r>
          </m:e>
          <m:sub>
            <m:r>
              <m:rPr>
                <w:rFonts w:ascii="Cambria Math" w:hAnsi="Cambria Math"/>
              </m:rPr>
              <m:t>it</m:t>
            </m:r>
          </m:sub>
        </m:sSub>
      </m:oMath>
      <w:r>
        <w:t xml:space="preserve"> + </w:t>
      </w:r>
      <m:oMath>
        <m:sSub>
          <m:sSubPr>
            <m:ctrlPr>
              <w:rPr>
                <w:i/>
              </w:rPr>
            </m:ctrlPr>
          </m:sSubPr>
          <m:e>
            <m:r>
              <m:rPr>
                <w:rFonts w:ascii="Cambria Math" w:hAnsi="Cambria Math"/>
              </m:rPr>
              <m:t>α</m:t>
            </m:r>
          </m:e>
          <m:sub>
            <m:r>
              <m:rPr>
                <w:rFonts w:ascii="Cambria Math" w:hAnsi="Cambria Math"/>
              </m:rPr>
              <m:t>i</m:t>
            </m:r>
          </m:sub>
        </m:sSub>
      </m:oMath>
      <w:r>
        <w:t xml:space="preserve"> + </w:t>
      </w:r>
      <m:oMath>
        <m:sSub>
          <m:sSubPr>
            <m:ctrlPr>
              <w:rPr>
                <w:i/>
              </w:rPr>
            </m:ctrlPr>
          </m:sSubPr>
          <m:e>
            <m:r>
              <m:rPr>
                <w:rFonts w:ascii="Cambria Math" w:hAnsi="Cambria Math"/>
              </m:rPr>
              <m:t>τ</m:t>
            </m:r>
          </m:e>
          <m:sub>
            <m:r>
              <m:rPr>
                <w:rFonts w:ascii="Cambria Math" w:hAnsi="Cambria Math"/>
              </m:rPr>
              <m:t>t</m:t>
            </m:r>
          </m:sub>
        </m:sSub>
      </m:oMath>
      <w:r>
        <w:t xml:space="preserve"> + </w:t>
      </w:r>
      <m:oMath>
        <m:sSub>
          <m:sSubPr>
            <m:ctrlPr>
              <w:rPr>
                <w:i/>
              </w:rPr>
            </m:ctrlPr>
          </m:sSubPr>
          <m:e>
            <m:r>
              <m:rPr>
                <w:rFonts w:ascii="Cambria Math" w:hAnsi="Cambria Math"/>
              </m:rPr>
              <m:t>ε</m:t>
            </m:r>
          </m:e>
          <m:sub>
            <m:r>
              <m:rPr>
                <w:rFonts w:ascii="Cambria Math" w:hAnsi="Cambria Math"/>
              </m:rPr>
              <m:t>it</m:t>
            </m:r>
          </m:sub>
        </m:sSub>
      </m:oMath>
    </w:p>
    <w:p>
      <w:r>
        <w:t xml:space="preserve">where α_i is a country-industry pair fixed effect absorbing all time-invariant pair heterogeneity, τ_t is a year fixed effect absorbing common shocks, and </w:t>
      </w:r>
      <m:oMath>
        <m:sSub>
          <m:sSubPr>
            <m:ctrlPr>
              <w:rPr>
                <w:i/>
              </w:rPr>
            </m:ctrlPr>
          </m:sSubPr>
          <m:e>
            <m:r>
              <m:rPr>
                <w:rFonts w:ascii="Cambria Math" w:hAnsi="Cambria Math"/>
              </m:rPr>
              <m:t>HighCapital</m:t>
            </m:r>
          </m:e>
          <m:sub>
            <m:r>
              <m:rPr>
                <w:rFonts w:ascii="Cambria Math" w:hAnsi="Cambria Math"/>
              </m:rPr>
              <m:t>i</m:t>
            </m:r>
          </m:sub>
        </m:sSub>
      </m:oMath>
      <w:r>
        <w:t xml:space="preserve"> is a dummy equal to one if the pair's capital-formation intensity is above that country's own median (a country-specific rather than panel-wide threshold, to avoid conflating cross-country capital-intensity differences with within-country industry variation).</w:t>
      </w:r>
    </w:p>
    <w:p>
      <w:r>
        <w:rPr>
          <w:b/>
        </w:rPr>
        <w:t>First stage.</w:t>
      </w:r>
      <w:r>
        <w:t xml:space="preserve"> </w:t>
      </w:r>
      <m:oMath>
        <m:sSub>
          <m:sSubPr>
            <m:ctrlPr>
              <w:rPr>
                <w:i/>
              </w:rPr>
            </m:ctrlPr>
          </m:sSubPr>
          <m:e>
            <m:r>
              <m:rPr>
                <w:rFonts w:ascii="Cambria Math" w:hAnsi="Cambria Math"/>
              </m:rPr>
              <m:t>AIPI</m:t>
            </m:r>
          </m:e>
          <m:sub>
            <m:r>
              <m:rPr>
                <w:rFonts w:ascii="Cambria Math" w:hAnsi="Cambria Math"/>
              </m:rPr>
              <m:t>it</m:t>
            </m:r>
          </m:sub>
        </m:sSub>
      </m:oMath>
      <w:r>
        <w:t xml:space="preserve"> is instrumented with the Bartik shift-share instrument described in Section 3:</w:t>
      </w:r>
    </w:p>
    <w:p>
      <w:pPr>
        <w:jc w:val="center"/>
      </w:pPr>
      <m:oMath>
        <m:sSub>
          <m:sSubPr>
            <m:ctrlPr>
              <w:rPr>
                <w:i/>
              </w:rPr>
            </m:ctrlPr>
          </m:sSubPr>
          <m:e>
            <m:r>
              <m:rPr>
                <w:rFonts w:ascii="Cambria Math" w:hAnsi="Cambria Math"/>
              </m:rPr>
              <m:t>AIPI</m:t>
            </m:r>
          </m:e>
          <m:sub>
            <m:r>
              <m:rPr>
                <w:rFonts w:ascii="Cambria Math" w:hAnsi="Cambria Math"/>
              </m:rPr>
              <m:t>it</m:t>
            </m:r>
          </m:sub>
        </m:sSub>
      </m:oMath>
      <w:r>
        <w:t xml:space="preserve"> = </w:t>
      </w:r>
      <m:oMath>
        <m:sSub>
          <m:sSubPr>
            <m:ctrlPr>
              <w:rPr>
                <w:i/>
              </w:rPr>
            </m:ctrlPr>
          </m:sSubPr>
          <m:e>
            <m:r>
              <m:rPr>
                <w:rFonts w:ascii="Cambria Math" w:hAnsi="Cambria Math"/>
              </m:rPr>
              <m:t>π</m:t>
            </m:r>
          </m:e>
          <m:sub>
            <m:r>
              <m:rPr>
                <w:rFonts w:ascii="Cambria Math" w:hAnsi="Cambria Math"/>
              </m:rPr>
              <m:t>0</m:t>
            </m:r>
          </m:sub>
        </m:sSub>
      </m:oMath>
      <w:r>
        <w:t xml:space="preserve"> + </w:t>
      </w:r>
      <m:oMath>
        <m:sSub>
          <m:sSubPr>
            <m:ctrlPr>
              <w:rPr>
                <w:i/>
              </w:rPr>
            </m:ctrlPr>
          </m:sSubPr>
          <m:e>
            <m:r>
              <m:rPr>
                <w:rFonts w:ascii="Cambria Math" w:hAnsi="Cambria Math"/>
              </m:rPr>
              <m:t>π</m:t>
            </m:r>
          </m:e>
          <m:sub>
            <m:r>
              <m:rPr>
                <w:rFonts w:ascii="Cambria Math" w:hAnsi="Cambria Math"/>
              </m:rPr>
              <m:t>1</m:t>
            </m:r>
          </m:sub>
        </m:sSub>
      </m:oMath>
      <w:r>
        <w:t xml:space="preserve"> </w:t>
      </w:r>
      <m:oMath>
        <m:sSub>
          <m:sSubPr>
            <m:ctrlPr>
              <w:rPr>
                <w:i/>
              </w:rPr>
            </m:ctrlPr>
          </m:sSubPr>
          <m:e>
            <m:r>
              <m:rPr>
                <w:rFonts w:ascii="Cambria Math" w:hAnsi="Cambria Math"/>
              </m:rPr>
              <m:t>AIPI</m:t>
            </m:r>
          </m:e>
          <m:sub>
            <m:r>
              <m:rPr>
                <w:rFonts w:ascii="Cambria Math" w:hAnsi="Cambria Math"/>
              </m:rPr>
              <m:t>bartik</m:t>
            </m:r>
          </m:sub>
        </m:sSub>
      </m:oMath>
      <w:r>
        <w:t xml:space="preserve"> + </w:t>
      </w:r>
      <m:oMath>
        <m:sSub>
          <m:sSubPr>
            <m:ctrlPr>
              <w:rPr>
                <w:i/>
              </w:rPr>
            </m:ctrlPr>
          </m:sSubPr>
          <m:e>
            <m:r>
              <m:rPr>
                <w:rFonts w:ascii="Cambria Math" w:hAnsi="Cambria Math"/>
              </m:rPr>
              <m:t>β</m:t>
            </m:r>
          </m:e>
          <m:sub>
            <m:r>
              <m:rPr>
                <w:rFonts w:ascii="Cambria Math" w:hAnsi="Cambria Math"/>
              </m:rPr>
              <m:t>3</m:t>
            </m:r>
          </m:sub>
        </m:sSub>
      </m:oMath>
      <w:r>
        <w:t xml:space="preserve"> ln(</w:t>
      </w:r>
      <m:oMath>
        <m:sSub>
          <m:sSubPr>
            <m:ctrlPr>
              <w:rPr>
                <w:i/>
              </w:rPr>
            </m:ctrlPr>
          </m:sSubPr>
          <m:e>
            <m:r>
              <m:rPr>
                <w:rFonts w:ascii="Cambria Math" w:hAnsi="Cambria Math"/>
              </m:rPr>
              <m:t>GDPpc</m:t>
            </m:r>
          </m:e>
          <m:sub>
            <m:r>
              <m:rPr>
                <w:rFonts w:ascii="Cambria Math" w:hAnsi="Cambria Math"/>
              </m:rPr>
              <m:t>it</m:t>
            </m:r>
          </m:sub>
        </m:sSub>
      </m:oMath>
      <w:r>
        <w:t xml:space="preserve">) + </w:t>
      </w:r>
      <m:oMath>
        <m:sSub>
          <m:sSubPr>
            <m:ctrlPr>
              <w:rPr>
                <w:i/>
              </w:rPr>
            </m:ctrlPr>
          </m:sSubPr>
          <m:e>
            <m:r>
              <m:rPr>
                <w:rFonts w:ascii="Cambria Math" w:hAnsi="Cambria Math"/>
              </m:rPr>
              <m:t>β</m:t>
            </m:r>
          </m:e>
          <m:sub>
            <m:r>
              <m:rPr>
                <w:rFonts w:ascii="Cambria Math" w:hAnsi="Cambria Math"/>
              </m:rPr>
              <m:t>4</m:t>
            </m:r>
          </m:sub>
        </m:sSub>
      </m:oMath>
      <w:r>
        <w:t xml:space="preserve"> </w:t>
      </w:r>
      <m:oMath>
        <m:sSub>
          <m:sSubPr>
            <m:ctrlPr>
              <w:rPr>
                <w:i/>
              </w:rPr>
            </m:ctrlPr>
          </m:sSubPr>
          <m:e>
            <m:r>
              <m:rPr>
                <w:rFonts w:ascii="Cambria Math" w:hAnsi="Cambria Math"/>
              </m:rPr>
              <m:t>Renew</m:t>
            </m:r>
          </m:e>
          <m:sub>
            <m:r>
              <m:rPr>
                <w:rFonts w:ascii="Cambria Math" w:hAnsi="Cambria Math"/>
              </m:rPr>
              <m:t>it</m:t>
            </m:r>
          </m:sub>
        </m:sSub>
      </m:oMath>
      <w:r>
        <w:t xml:space="preserve"> + ... + </w:t>
      </w:r>
      <m:oMath>
        <m:sSub>
          <m:sSubPr>
            <m:ctrlPr>
              <w:rPr>
                <w:i/>
              </w:rPr>
            </m:ctrlPr>
          </m:sSubPr>
          <m:e>
            <m:r>
              <m:rPr>
                <w:rFonts w:ascii="Cambria Math" w:hAnsi="Cambria Math"/>
              </m:rPr>
              <m:t>v</m:t>
            </m:r>
          </m:e>
          <m:sub>
            <m:r>
              <m:rPr>
                <w:rFonts w:ascii="Cambria Math" w:hAnsi="Cambria Math"/>
              </m:rPr>
              <m:t>it</m:t>
            </m:r>
          </m:sub>
        </m:sSub>
      </m:oMath>
    </w:p>
    <w:p>
      <w:r>
        <w:rPr>
          <w:b/>
        </w:rPr>
        <w:t>Channel-decomposition identity.</w:t>
      </w:r>
      <w:r>
        <w:t xml:space="preserve"> Because ln(LaborShare) = ln(AverageWage) + ln(Employment) - ln(ValueAdded) exactly, re-estimating the identical FE-IV specification with average wage, employment, and value added in turn as the dependent variable yields three coefficients that must sum, by construction, to the labor-share coefficient above - not an approximation, but an exact accounting identity given the same sample, first stage, and clustering (Section 6 reports this decomposition; the identity holds to within rounding, gap = 0.0000).</w:t>
      </w:r>
    </w:p>
    <w:p>
      <w:r>
        <w:t>The environmental margin substitutes ln(CO2 emission intensity) for the dependent variable and AI patent intensity's carbon-relevant controls; the efficiency margin substitutes ln(labor productivity) for the dependent variable, green technology intensity for the technology-intensity regressor, and a HighAI dummy (above-median AI exposure, Felten et al. 2021) in place of HighCapital. Standard errors are clustered at the country-industry pair level throughout; alpha = 0.10 is used for statistical significance given the small emerging-market cluster counts (Section 5).</w:t>
      </w:r>
    </w:p>
    <w:p>
      <w:r>
        <w:rPr>
          <w:b/>
        </w:rPr>
        <w:t>Estimator ladder.</w:t>
      </w:r>
      <w:r>
        <w:t xml:space="preserve"> Each margin is estimated along the same four-rung ladder reported in the main tables: pooled OLS (a naive no-fixed-effects comparator, not a preferred estimate), two-way fixed effects (FE), FE with the moderator interaction (FE+Interact.), and FE-IV. A dynamic-panel GMM estimator is reported as a fifth column where a valid specification could be obtained (Diff. GMM for the labor-share margin; System GMM for the environmental margin), with full estimator-ladder and robustness detail in the appendix. The ladder is reported in full, rather than only the preferred FE-IV column, because the gap between the pooled-OLS and FE columns is itself informative: a large, sign-changing gap (as in the labor-share margin, Section 6) is direct evidence of the time-invariant heterogeneity that motivates using fixed effects in the first place, while a small, stable gap would have suggested fixed effects add comparatively little beyond the pooled correlation. Reporting the whole ladder lets a reader assess this without taking the choice of preferred estimator on faith.</w:t>
      </w:r>
    </w:p>
    <w:p>
      <w:pPr>
        <w:pStyle w:val="Heading1"/>
      </w:pPr>
      <w:r>
        <w:t>5. Estimation and Testing</w:t>
      </w:r>
    </w:p>
    <w:p>
      <w:r>
        <w:t xml:space="preserve">Instrument relevance is assessed via the first-stage F-statistic against the conventional threshold of 10; for the labor-share margin's instrument, </w:t>
      </w:r>
      <m:oMath>
        <m:sSub>
          <m:sSubPr>
            <m:ctrlPr>
              <w:rPr>
                <w:i/>
              </w:rPr>
            </m:ctrlPr>
          </m:sSubPr>
          <m:e>
            <m:r>
              <m:rPr>
                <w:rFonts w:ascii="Cambria Math" w:hAnsi="Cambria Math"/>
              </m:rPr>
              <m:t>AIPI</m:t>
            </m:r>
          </m:e>
          <m:sub>
            <m:r>
              <m:rPr>
                <w:rFonts w:ascii="Cambria Math" w:hAnsi="Cambria Math"/>
              </m:rPr>
              <m:t>bartik</m:t>
            </m:r>
          </m:sub>
        </m:sSub>
      </m:oMath>
      <w:r>
        <w:t xml:space="preserve"> loads onto AIPI with a coefficient of 0.867 and a first-stage F-statistic that clears this threshold by a wide margin. Instrument exogeneity cannot be tested directly in a just-identified FE-IV design, so it is argued on institutional grounds (the shift-share instrument uses only other-country technology diffusion, excluding the country's own patenting activity) and probed indirectly via a Goldsmith-Pinkham-Sorkin-Swift (2020) Rotemberg-weight decomposition, which shows the environmental and distributional margins draw most identifying variation from manufacturing industries - disclosed as a caveat, consistent with how the shift-share literature itself reports this diagnostic.</w:t>
      </w:r>
    </w:p>
    <w:p>
      <w:r>
        <w:t>A battery of robustness checks accompanies each margin's main result: high- versus low-moderator subsample splits, an alternative equal-weighting scheme in place of the patent-to-industry crosswalk weights, a placebo exercise with industry weights shuffled across industries (expecting a null effect), and a source-robustness check substituting WIPO-based patent counts for the primary EPO-based measure - the latter is what allows Vietnam and several ASEAN countries to enter the sample at all, since Vietnamese AI-patent filings are too sparse under the EPO-based measure. A wild-cluster-bootstrap fallback and Gollin (2002) self-employment adjustment further support the small-sample emerging-market inference, and a bias-corrected LSDVC dynamic-panel estimate cross-checks the GMM columns' persistence coefficient.</w:t>
      </w:r>
    </w:p>
    <w:p>
      <w:r>
        <w:t>Diagnostic testing follows a common protocol across all three margins: a Wu-Hausman test of AIPI/GTI endogeneity against the corresponding FE-IV specification, a Hansen J overidentification test where the model is overidentified, and AR(1)/AR(2) autocorrelation tests for the GMM columns, each assessed at alpha = 0.10 given the small emerging-market cluster counts. Because the EM panels contain substantially fewer clusters than the OECD panels, an emerging-market non-result is read throughout as an imprecisely estimated coefficient rather than as evidence that the underlying relationship is absent - a distinction this chapter maintains consistently when interpreting the EM columns in Section 6. Full estimator-ladder and robustness detail for all three margins is reported in the appendix; Section 6 summarizes the labor-share margin's own robustness battery in the main text, since it is this chapter's focus.</w:t>
      </w:r>
    </w:p>
    <w:p>
      <w:pPr>
        <w:pStyle w:val="Heading1"/>
      </w:pPr>
      <w:r>
        <w:t>6. Result and Analysis</w:t>
      </w:r>
    </w:p>
    <w:p>
      <w:r>
        <w:t>Table 2 reports the headline FE-IV estimate for each margin, OECD and emerging-market panels side by side, giving the full picture before this chapter turns to the labor-share margin in depth.</w:t>
      </w:r>
    </w:p>
    <w:p/>
    <w:p>
      <w:pPr>
        <w:pStyle w:val="Caption"/>
        <w:jc w:val="center"/>
      </w:pPr>
      <w:r>
        <w:t>Table 2. Headline FE-IV Estimates Across Parts A-C</w:t>
      </w:r>
    </w:p>
    <w:p>
      <w:r>
        <w:rPr>
          <w:b/>
        </w:rPr>
        <w:t>The environmental margin (AI patent intensity and carbon emission intensity).</w:t>
      </w:r>
      <w:r>
        <w:t xml:space="preserve"> In the OECD panel, AI patent intensity significantly lowers carbon emission intensity (FE-IV beta = -0.096, SE 0.033, p&lt;0.01), consistent with a technique effect - AI-complementary production reallocating toward lower-emission methods - dominating any scale effect at the OECD technology frontier. The corresponding two-way FE coefficient (-0.050, p&lt;0.05) is smaller in magnitude, consistent with a Wu-Hausman test finding that AIPI is endogenous in a direction that would otherwise attenuate the true effect toward zero; the two control variables that load most consistently across specifications are renewable-energy share (negative, as expected) and capital formation intensity (positive, consistent with a scale effect running through investment). In the emerging-market panel the coefficient is positive (0.801) but statistically indistinguishable from zero given the panel's 74 pairs and short window; this is read as an imprecisely estimated coefficient, not evidence that AI adoption raises EM carbon intensity. The ASEAN-specific interaction is likewise small and indistinguishable from zero (0.019, SE 0.133): Southeast Asia's AI-carbon relationship does not measurably differ from the wider EM panel on this margin. A robustness check substituting WIPO-based AI-publication counts for the main EPO-based measure brings Myanmar and Vietnam into the estimation sample; the WIPO-based point estimates are less precisely estimated - reflecting that series' shorter time coverage and higher measurement noise - but are not statistically distinguishable from the EPO-based estimates, and the Vietnam-inclusive ASEAN interaction shows the same sign pattern as the main EM specification.</w:t>
      </w:r>
    </w:p>
    <w:p>
      <w:r>
        <w:rPr>
          <w:b/>
        </w:rPr>
        <w:t>The efficiency margin (green technology intensity and labor productivity).</w:t>
      </w:r>
      <w:r>
        <w:t xml:space="preserve"> Green technology intensity raises OECD labor productivity (FE-IV beta = 0.0187, SE 0.0069, p&lt;0.01), consistent with the Porter-hypothesis logic that environmental-technology adoption and productivity gains are complementary rather than competing. The productivity dividend is roughly three times larger in industries with above-median AI exposure (HighAI interaction beta = 0.0420, SE 0.0197, p&lt;0.05), suggesting AI-complementary process capability helps convert a green patent into a realized productivity gain; an extended moderator using a country-specific capital-formation threshold (HighCapital) in place of HighAI is small and insignificant (0.0019), so the AI-complementarity reading is specific to AI exposure rather than to capital intensity generally. Capital formation intensity itself loads negatively on productivity across FE specifications, a pattern consistent with adjustment costs during periods of active investment rather than with a mismeasured control. In the emerging-market panel the coefficient is positive (0.213) but not significant; the ASEAN interaction, by contrast, is both economically and statistically meaningful (beta = 0.198, SE 0.110, p&lt;0.10): the productivity dividend is measurably larger in ASEAN than in the rest of the EM panel - this chapter's clearest ASEAN-specific finding on any margin, and a directly relevant one for Vietnam's own green-technology-adoption policy given its manufacturing-export orientation.</w:t>
      </w:r>
    </w:p>
    <w:p>
      <w:r>
        <w:rPr>
          <w:b/>
        </w:rPr>
        <w:t>The distributional margin: AI patent intensity and the labor income share.</w:t>
      </w:r>
      <w:r>
        <w:t xml:space="preserve"> This is the chapter's focus. Table 3 reports the full OECD estimator ladder.</w:t>
      </w:r>
    </w:p>
    <w:p/>
    <w:p>
      <w:pPr>
        <w:pStyle w:val="Caption"/>
        <w:jc w:val="center"/>
      </w:pPr>
      <w:r>
        <w:t>Table 3. Main Results: AI Patent Intensity and the Labor Income Share</w:t>
      </w:r>
    </w:p>
    <w:p>
      <w:r>
        <w:t>The FE-IV coefficient is small and statistically indistinguishable from zero (beta = 0.0114, SE 0.0255): AI patent intensity has no detectable net effect on the OECD labor income share. The pooled-OLS column, by contrast, shows a significant positive coefficient (0.0635, p&lt;0.01); the gap between this naive comparator and the two-way FE estimate (-0.0163) is attributable to time-invariant country-industry heterogeneity purged by fixed effects - the empirical case for using FE over pooled OLS in this setting, and a reminder that the pooled correlation alone would have suggested the opposite sign from the FE-IV result. The HighCapital interaction is small and insignificant (-0.0058, SE 0.0052), so the near-zero net effect does not appear to be masking a capital-intensity-specific pattern; the dynamic-panel Diff. GMM column adds a lagged labor-share term (0.6509, p&lt;0.01), confirming substantial persistence in the labor share from year to year, consistent with wage-setting and workforce composition adjusting slowly rather than jumping to a new equilibrium within a single year.</w:t>
      </w:r>
    </w:p>
    <w:p>
      <w:r>
        <w:t>Read in isolation, the FE-IV null could mean either that AI simply does not touch the wage-employment split, or that it does so in ways that happen to cancel out. The identity-based channel decomposition in Table 4 distinguishes between these two readings.</w:t>
      </w:r>
    </w:p>
    <w:p/>
    <w:p>
      <w:pPr>
        <w:pStyle w:val="Caption"/>
        <w:jc w:val="center"/>
      </w:pPr>
      <w:r>
        <w:t>Table 4. Channel Decomposition: Employment, Wage and Value-Added Effects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BookFig3_ChannelDecomposition_20260722_130019.png"/>
                    <pic:cNvPicPr/>
                  </pic:nvPicPr>
                  <pic:blipFill>
                    <a:blip r:embed="rId46"/>
                    <a:stretch>
                      <a:fillRect/>
                    </a:stretch>
                  </pic:blipFill>
                  <pic:spPr>
                    <a:xfrm>
                      <a:off x="0" y="0"/>
                      <a:ext cx="5486400" cy="3429000"/>
                    </a:xfrm>
                    <a:prstGeom prst="rect"/>
                  </pic:spPr>
                </pic:pic>
              </a:graphicData>
            </a:graphic>
          </wp:inline>
        </w:drawing>
      </w:r>
    </w:p>
    <w:p>
      <w:pPr>
        <w:pStyle w:val="Caption"/>
        <w:jc w:val="center"/>
      </w:pPr>
      <w:r>
        <w:t>Figure 1. Channel Decomposition and Accounting Identity (FE-IV), Part C</w:t>
      </w:r>
    </w:p>
    <w:p>
      <w:r>
        <w:t>The near-zero net effect decomposes exactly into a significant employment gain (beta = 0.0899, consistent with a reinstatement effect creating new AI-complementary tasks) almost fully offset by a significant wage discount (beta = -0.0706), with a small, insignificant value-added effect (beta = 0.0079). By construction, 0.0899 - 0.0706 - 0.0079 reproduces the labor-share coefficient of 0.0114 exactly (gap = 0.0000, Figure 1) - not an approximation, but an exact accounting identity given that all three mechanism models share the identical estimation sample, first-stage fit, and clustering as the main labor-share specification. In other words, AI-associated employment expansion in the OECD panel is real, but it comes with a per-worker wage discount large enough to leave the aggregate labor share looking unchanged - a materially different, and more cautionary, story than "no effect" would suggest on its own. Read against the task-based framework of Section 2, this pattern is consistent with a reinstatement effect (new AI-complementary tasks, raising employment) operating alongside a displacement-adjacent wage effect - AI-exposed workers moving into a larger number of tasks that, on average, pay less per hour than the tasks they replaced or supplemented, even though aggregate headcount rises.</w:t>
      </w:r>
    </w:p>
    <w:p>
      <w:r>
        <w:t>In the emerging-market panel, the labor-share effect is modestly positive and significant at the 10 percent level (beta = 0.062), wage-driven rather than employment-driven - the reverse channel emphasis from the OECD result, and a pattern consistent with EM firms adopting AI-complementary methods from a lower wage base, where a given absolute wage gain represents a larger proportional labor-share movement than in the OECD panel. The ASEAN-specific interaction shows a significantly weaker or reversed version of this pattern (beta = -0.102, p&lt;0.05): whatever wage-side mechanism supports the wider EM panel's modestly positive labor-share effect appears attenuated or reversed within ASEAN specifically, an open question this chapter flags rather than resolves given the panel's limited ASEAN cluster count. Table 5 reports the instrument's first-stage strength alongside the high- versus low-capital-intensity subsample split underlying the HighCapital interaction in Table 3: the point estimates move in the same direction across both subsamples, without a sharp capital-intensity-specific break in the AI-labor-share relationship.</w:t>
      </w:r>
    </w:p>
    <w:p/>
    <w:p>
      <w:pPr>
        <w:pStyle w:val="Caption"/>
        <w:jc w:val="center"/>
      </w:pPr>
      <w:r>
        <w:t>Table 5. Instrument Validity and Subsample Robustness</w:t>
      </w:r>
    </w:p>
    <w:p>
      <w:r>
        <w:t>Beyond the checks reported in Table 5, the labor-share margin's full robustness battery (appendix) includes an equal-weighting alternative to the ALP patent-to-industry crosswalk, a placebo exercise with industry weights shuffled at random (point estimate of a materially different order of magnitude from the main result, and opposite in sign, consistent with the placebo weighting having removed the genuine identifying variation), a Gollin (2002) self-employment-adjusted labor-share definition, and a bias-corrected LSDVC dynamic-panel estimate cross-checking the Diff. GMM column's persistence coefficient. None of these overturn the headline FE-IV null or the channel-decomposition pattern reported above; they are reported in full in the appendix so the main-text result can be read against its complete robustness record rather than a curated subset of it.</w:t>
      </w:r>
    </w:p>
    <w:p>
      <w:r>
        <w:rPr>
          <w:b/>
        </w:rPr>
        <w:t>Synthesis across the three margins.</w:t>
      </w:r>
      <w:r>
        <w:t xml:space="preserve"> Figure 2 places the three outcome trends side by side; Figure 3 places the three margins' headline FE-IV coefficients side by side, OECD versus EM.</w:t>
      </w:r>
    </w:p>
    <w:p>
      <w:pPr>
        <w:jc w:val="center"/>
      </w:pPr>
      <w:r>
        <w:drawing>
          <wp:inline xmlns:a="http://schemas.openxmlformats.org/drawingml/2006/main" xmlns:pic="http://schemas.openxmlformats.org/drawingml/2006/picture">
            <wp:extent cx="5760720" cy="2199548"/>
            <wp:docPr id="2" name="Picture 2"/>
            <wp:cNvGraphicFramePr>
              <a:graphicFrameLocks noChangeAspect="1"/>
            </wp:cNvGraphicFramePr>
            <a:graphic>
              <a:graphicData uri="http://schemas.openxmlformats.org/drawingml/2006/picture">
                <pic:pic>
                  <pic:nvPicPr>
                    <pic:cNvPr id="0" name="BookFig1_TrendsByMargin_20260722_130019.png"/>
                    <pic:cNvPicPr/>
                  </pic:nvPicPr>
                  <pic:blipFill>
                    <a:blip r:embed="rId47"/>
                    <a:stretch>
                      <a:fillRect/>
                    </a:stretch>
                  </pic:blipFill>
                  <pic:spPr>
                    <a:xfrm>
                      <a:off x="0" y="0"/>
                      <a:ext cx="5760720" cy="2199548"/>
                    </a:xfrm>
                    <a:prstGeom prst="rect"/>
                  </pic:spPr>
                </pic:pic>
              </a:graphicData>
            </a:graphic>
          </wp:inline>
        </w:drawing>
      </w:r>
    </w:p>
    <w:p>
      <w:pPr>
        <w:pStyle w:val="Caption"/>
        <w:jc w:val="center"/>
      </w:pPr>
      <w:r>
        <w:t>Figure 2. Panel-Wide Trends by Margin, OECD Panel, 2010-2022</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BookFig2_CrossPartsCoefs_20260722_130019.png"/>
                    <pic:cNvPicPr/>
                  </pic:nvPicPr>
                  <pic:blipFill>
                    <a:blip r:embed="rId48"/>
                    <a:stretch>
                      <a:fillRect/>
                    </a:stretch>
                  </pic:blipFill>
                  <pic:spPr>
                    <a:xfrm>
                      <a:off x="0" y="0"/>
                      <a:ext cx="5760720" cy="3520440"/>
                    </a:xfrm>
                    <a:prstGeom prst="rect"/>
                  </pic:spPr>
                </pic:pic>
              </a:graphicData>
            </a:graphic>
          </wp:inline>
        </w:drawing>
      </w:r>
    </w:p>
    <w:p>
      <w:pPr>
        <w:pStyle w:val="Caption"/>
        <w:jc w:val="center"/>
      </w:pPr>
      <w:r>
        <w:t>Figure 3. Headline FE-IV Estimates Across Parts A-C, OECD vs EM</w:t>
      </w:r>
    </w:p>
    <w:p>
      <w:r>
        <w:t>Read together, the three margins tell a triangular story about AI and green-technology adoption: environmentally favorable (Part A), efficiency-enhancing and particularly so within ASEAN (Part B), and distributionally delicate rather than simply neutral (Part C) - an aggregate labor-share null that conceals a real employment-versus-wage trade-off. Two industries drive most of the identifying variation behind the environmental and distributional margins' FE-IV estimates, per the Rotemberg-weight decomposition in Section 5 - manufacturing chief among them - a pattern the shift-share literature treats as a disclosure item rather than a disqualifying weakness, but one worth bearing in mind when extrapolating the headline coefficients to industries outside that concentration. Samples, industry scopes, and instruments differ by design across the three margins (different outcome variables draw on different source databases), so the comparison in Figure 3 is a comparison of signs and relative precision, not of coefficient magnitudes across differently scaled outcomes.</w:t>
      </w:r>
    </w:p>
    <w:p>
      <w:r>
        <w:rPr>
          <w:b/>
        </w:rPr>
        <w:t>Implications given the data constraints for Vietnam.</w:t>
      </w:r>
      <w:r>
        <w:t xml:space="preserve"> Vietnamese-applicant AI patent filings remain too sparse to construct even an unbalanced industry-level series under the primary EPO-based measure used throughout this chapter; Vietnam enters the estimation sample only through the secondary WIPO-based robustness check (Section 5), and the labor-share and productivity outcome series available for Vietnam under UNIDO INDSTAT4 are themselves less complete than the OECD STAN series. Given this, the OECD channel-decomposition result is read as the best currently available evidence on the mechanism through which AI adoption could affect Vietnamese industry wages and employment as Vietnamese firms adopt AI-complementary methods, while the EM/ASEAN panel coefficients are read as the best currently available evidence on the direction to expect once Vietnamese firm-level or industry-level AI-adoption data become available. Both readings are offered as hypotheses for future work, not as claims about Vietnam specifically that the current data can support directly. Two features of Vietnam's current position make the channel-decomposition mechanism particularly worth tracking as better data arrive: its deep integration into multinational electronics and machinery value chains, where AI-complementary process technology is most likely to diffuse first, and its concentration of employment in labor-intensive assembly tasks, precisely the kind of task margin where a reinstatement-driven employment gain and a wage discount would both be expected to appear together if the OECD pattern generalizes.</w:t>
      </w:r>
    </w:p>
    <w:p>
      <w:pPr>
        <w:pStyle w:val="Heading1"/>
      </w:pPr>
      <w:r>
        <w:t>7. Conclusion and Policy Recommendations</w:t>
      </w:r>
    </w:p>
    <w:p>
      <w:r>
        <w:t>This chapter set out to answer three research questions using a unified FE-IV framework applied to a common technology-intensity measure across three margins of structural change, in both an OECD and an emerging-market panel. On the environmental margin, AI patent intensity significantly reduces carbon emission intensity in OECD industries; the EM direction cannot be established with available precision. On the efficiency margin, green technology intensity raises OECD labor productivity, amplified where AI exposure is above median and, regionally, significantly stronger within ASEAN. On the distributional margin - this chapter's focus - AI patent intensity has no detectable net effect on the OECD labor income share, but this null decomposes exactly into a significant employment gain almost fully offset by a significant wage discount; the EM effect is modestly positive and wage-driven, while ASEAN specifically shows a significantly weaker or reversed version of that pattern.</w:t>
      </w:r>
    </w:p>
    <w:p>
      <w:r>
        <w:t>Three policy implications follow, each tied to technology-upgrading and middle-income-trap themes relevant to Vietnam and Southeast Asia. First, AI adoption need not be traded off against Vietnam's 2050 net-zero commitment: if the OECD technique-effect pattern generalizes as Vietnamese industries adopt AI-complementary methods, technology upgrading and emission reduction can be complementary rather than sequential goals - though the EM carbon estimate is too imprecise to state this as more than a plausible hypothesis pending better Vietnamese AI-adoption data. Second, since green-technology and AI adoption are productivity-complementary in the OECD panel, and more so within ASEAN, a "dual innovation" industrial policy stance - treating AI-adoption support and green-patenting incentives as reinforcing rather than competing budget priorities - is supported by the evidence, and is directly actionable for Vietnamese industrial policy given the ASEAN-specific productivity finding. Third, and most cautionary, the OECD channel decomposition shows AI-associated employment expansion can carry a real per-worker wage discount even where the aggregate labor share looks unchanged; skills and labor-market policy should not treat headcount growth alone as evidence that workers are capturing AI's reinstatement effect in wage terms, and should track the wage-employment split directly using this chapter's accounting-identity approach as Vietnamese firm-level AI-adoption data become available. Together, these speak to the middle-income trap: successful technology upgrading requires that productivity and employment gains be captured by labor in wage terms, not merely in headcount.</w:t>
      </w:r>
    </w:p>
    <w:p>
      <w:r>
        <w:t>These implications are offered as directions for policy attention, not as a finished policy prescription: each rests on an OECD-estimated mechanism or an EM/ASEAN-estimated direction that has not yet been tested on Vietnamese data directly, and the appropriate next step, discussed further below, is to test them there before they inform specific instrument choices (subsidy design, skills-training eligibility, or emissions-pricing calibration, for instance) rather than only the broad policy stance.</w:t>
      </w:r>
    </w:p>
    <w:p>
      <w:r>
        <w:t>Four limitations qualify these conclusions. First, every EM point estimate rests on a comparatively small number of clusters, the likely reason EM coefficients are directionally similar to but less precisely estimated than the OECD ones; an EM non-result is not read as evidence of an absent relationship. Second, Vietnamese-applicant AI patent filings remain too sparse under the primary EPO-based measure to construct even an unbalanced industry series, so this chapter's Vietnam-specific conclusions are necessarily indirect, drawn from the OECD mechanism and the wider EM/ASEAN direction rather than from Vietnamese data themselves. Third, both AI Patent Intensity and Green Technology Intensity are activity-based proxies - they measure patenting output, not adoption or use directly - and likely under-count diffusion where firms license or import rather than patent, biasing EM coefficients toward zero relative to the true effect. Fourth, the wild-cluster-bootstrap fallback used for small-sample EM inference is a documented compromise, not a first-choice method.</w:t>
      </w:r>
    </w:p>
    <w:p>
      <w:r>
        <w:t>Two extensions would sharpen these conclusions. Firm-level Vietnamese data, for example from the General Statistics Office's enterprise survey, would test whether the industry-level patterns replicate, strengthen, or dissolve at the firm level, substantially increasing the effective sample available for Vietnam relative to the seven-to-eight-country ASEAN panel used here. Second, micro-level evidence on the wage-employment split within Vietnamese manufacturing - matched employer-employee data distinguishing which occupations gain employment and which lose wage share - would test directly whether the OECD channel-decomposition pattern (employment gain, wage discount, net-zero labor share) operates in Vietnam, or whether Vietnam's distinct data position and ASEAN's different productivity interaction reflect a genuinely different channel structure. Until such data exist, this chapter's contribution is to have shown, on the best currently available OECD and emerging-market evidence, that AI adoption's distributional consequences are neither simply favorable nor simply neutral, and that the accounting-identity decomposition used here offers a template Vietnamese researchers can apply directly once comparable industry- or firm-level series become available.</w:t>
      </w:r>
    </w:p>
    <w:p>
      <w:pPr>
        <w:pStyle w:val="Heading1"/>
      </w:pPr>
      <w:r>
        <w:t>References</w:t>
      </w:r>
    </w:p>
    <w:p>
      <w:r>
        <w:rPr>
          <w:b/>
        </w:rPr>
        <w:t>Group A - Theoretical Framework</w:t>
      </w:r>
    </w:p>
    <w:p>
      <w:r>
        <w:t>Gerschenkron, A. (1962). Economic Backwardness in Historical Perspective: A Book of Essays. Belknap Press of Harvard University Press.</w:t>
      </w:r>
    </w:p>
    <w:p>
      <w:r>
        <w:t>Perez, C., &amp; Soete, L. (1988). Catching up in technology: Entry barriers and windows of opportunity. In G. Dosi, C. Freeman, R. Nelson, G. Silverberg, &amp; L. Soete (Eds.), Technical Change and Economic Theory (pp. 458-479). Pinter Publishers.</w:t>
      </w:r>
    </w:p>
    <w:p>
      <w:r>
        <w:t>Bresnahan, T. F., &amp; Trajtenberg, M. (1995). General purpose technologies: Engines of growth? Journal of Econometrics, 65(1), 83-108.</w:t>
      </w:r>
    </w:p>
    <w:p>
      <w:r>
        <w:t>Acemoglu, D., &amp; Restrepo, P. (2020). Robots and jobs: Evidence from US labor markets. Journal of Political Economy, 128(6), 2188-2244.</w:t>
      </w:r>
      <w:r>
        <w:t xml:space="preserve"> </w:t>
      </w:r>
      <w:hyperlink r:id="rId17">
        <w:r>
          <w:rPr>
            <w:rStyle w:val="Hyperlink"/>
          </w:rPr>
          <w:t>https://doi.org/10.1086/705716</w:t>
        </w:r>
      </w:hyperlink>
    </w:p>
    <w:p>
      <w:r>
        <w:t>Acemoglu, D., &amp; Restrepo, P. (2022). Tasks, automation, and the rise in US wage inequality. Econometrica, 90(5), 1973-2016.</w:t>
      </w:r>
      <w:r>
        <w:t xml:space="preserve"> </w:t>
      </w:r>
      <w:hyperlink r:id="rId18">
        <w:r>
          <w:rPr>
            <w:rStyle w:val="Hyperlink"/>
          </w:rPr>
          <w:t>https://doi.org/10.3982/ECTA19815</w:t>
        </w:r>
      </w:hyperlink>
    </w:p>
    <w:p>
      <w:r>
        <w:rPr>
          <w:b/>
        </w:rPr>
        <w:t>Group B - AI Measurement and Patent-Industry Crosswalk</w:t>
      </w:r>
    </w:p>
    <w:p>
      <w:r>
        <w:t>Felten, E., Raj, M., &amp; Seamans, R. (2021). Occupational, industry, and geographic exposure to artificial intelligence: A novel dataset and its potential uses. Strategic Management Journal, 42(12), 2195-2217.</w:t>
      </w:r>
      <w:r>
        <w:t xml:space="preserve"> </w:t>
      </w:r>
      <w:hyperlink r:id="rId20">
        <w:r>
          <w:rPr>
            <w:rStyle w:val="Hyperlink"/>
          </w:rPr>
          <w:t>https://doi.org/10.1002/smj.3286</w:t>
        </w:r>
      </w:hyperlink>
    </w:p>
    <w:p>
      <w:r>
        <w:t>Lybbert, T. J., &amp; Zolas, N. J. (2014). Getting patents and economic data to speak to each other: An Algorithmic Links with Probabilities approach for joint analyses of patenting and economic activity. Research Policy, 43(3), 530-542.</w:t>
      </w:r>
      <w:r>
        <w:t xml:space="preserve"> </w:t>
      </w:r>
      <w:hyperlink r:id="rId49">
        <w:r>
          <w:rPr>
            <w:rStyle w:val="Hyperlink"/>
          </w:rPr>
          <w:t>https://doi.org/10.1016/j.respol.2013.09.001</w:t>
        </w:r>
      </w:hyperlink>
    </w:p>
    <w:p>
      <w:r>
        <w:rPr>
          <w:b/>
        </w:rPr>
        <w:t>Group C - Green Technology and Productivity</w:t>
      </w:r>
    </w:p>
    <w:p>
      <w:r>
        <w:t>Porter, M. E., &amp; van der Linde, C. (1995). Toward a new conception of the environment-competitiveness relationship. Journal of Economic Perspectives, 9(4), 97-118.</w:t>
      </w:r>
      <w:r>
        <w:t xml:space="preserve"> </w:t>
      </w:r>
      <w:hyperlink r:id="rId23">
        <w:r>
          <w:rPr>
            <w:rStyle w:val="Hyperlink"/>
          </w:rPr>
          <w:t>https://doi.org/10.1257/jep.9.4.97</w:t>
        </w:r>
      </w:hyperlink>
    </w:p>
    <w:p>
      <w:r>
        <w:t>Albrizio, S., Kozluk, T., &amp; Zipperer, V. (2017). Environmental policies and productivity growth: Evidence across industries and firms. Journal of Environmental Economics and Management, 81, 209-226.</w:t>
      </w:r>
    </w:p>
    <w:p>
      <w:r>
        <w:t>Popp, D. (2019). Environmental policy and innovation: A decade of research (NBER Working Paper No. 25631). National Bureau of Economic Research.</w:t>
      </w:r>
    </w:p>
    <w:p>
      <w:r>
        <w:t>Brynjolfsson, E., Rock, D., &amp; Syverson, C. (2021). The productivity J-curve: How intangibles complement general purpose technologies. American Economic Journal: Macroeconomics, 13(1), 333-372.</w:t>
      </w:r>
      <w:r>
        <w:t xml:space="preserve"> </w:t>
      </w:r>
      <w:hyperlink r:id="rId25">
        <w:r>
          <w:rPr>
            <w:rStyle w:val="Hyperlink"/>
          </w:rPr>
          <w:t>https://doi.org/10.1257/mac.20180386</w:t>
        </w:r>
      </w:hyperlink>
    </w:p>
    <w:p>
      <w:r>
        <w:rPr>
          <w:b/>
        </w:rPr>
        <w:t>Group D - Labor Share and Distribution</w:t>
      </w:r>
    </w:p>
    <w:p>
      <w:r>
        <w:t>Karabarbounis, L., &amp; Neiman, B. (2014). The global decline of the labor share. The Quarterly Journal of Economics, 129(1), 61-103.</w:t>
      </w:r>
      <w:r>
        <w:t xml:space="preserve"> </w:t>
      </w:r>
      <w:hyperlink r:id="rId26">
        <w:r>
          <w:rPr>
            <w:rStyle w:val="Hyperlink"/>
          </w:rPr>
          <w:t>https://doi.org/10.1093/qje/qjt032</w:t>
        </w:r>
      </w:hyperlink>
    </w:p>
    <w:p>
      <w:r>
        <w:t>Rognlie, M. (2015). Deciphering the fall and rise in the net capital share: Accumulation or scarcity? Brookings Papers on Economic Activity, 2015(1), 1-69.</w:t>
      </w:r>
      <w:r>
        <w:t xml:space="preserve"> </w:t>
      </w:r>
      <w:hyperlink r:id="rId27">
        <w:r>
          <w:rPr>
            <w:rStyle w:val="Hyperlink"/>
          </w:rPr>
          <w:t>https://doi.org/10.1353/eca.2016.0002</w:t>
        </w:r>
      </w:hyperlink>
    </w:p>
    <w:p>
      <w:r>
        <w:t>Autor, D., Dorn, D., Katz, L. F., Patterson, C., &amp; Van Reenen, J. (2020). The fall of the labor share and the rise of superstar firms. The Quarterly Journal of Economics, 135(2), 645-709.</w:t>
      </w:r>
      <w:r>
        <w:t xml:space="preserve"> </w:t>
      </w:r>
      <w:hyperlink r:id="rId28">
        <w:r>
          <w:rPr>
            <w:rStyle w:val="Hyperlink"/>
          </w:rPr>
          <w:t>https://doi.org/10.1093/qje/qjaa004</w:t>
        </w:r>
      </w:hyperlink>
    </w:p>
    <w:p>
      <w:r>
        <w:t>Gollin, D. (2002). Getting income shares right. Journal of Political Economy, 110(2), 458-474.</w:t>
      </w:r>
      <w:r>
        <w:t xml:space="preserve"> </w:t>
      </w:r>
      <w:hyperlink r:id="rId29">
        <w:r>
          <w:rPr>
            <w:rStyle w:val="Hyperlink"/>
          </w:rPr>
          <w:t>https://doi.org/10.1086/338747</w:t>
        </w:r>
      </w:hyperlink>
    </w:p>
    <w:p>
      <w:r>
        <w:t>Graetz, G., &amp; Michaels, G. (2018). Robots at work. The Review of Economics and Statistics, 100(5), 753-768.</w:t>
      </w:r>
      <w:r>
        <w:t xml:space="preserve"> </w:t>
      </w:r>
      <w:hyperlink r:id="rId30">
        <w:r>
          <w:rPr>
            <w:rStyle w:val="Hyperlink"/>
          </w:rPr>
          <w:t>https://doi.org/10.1162/rest_a_00754</w:t>
        </w:r>
      </w:hyperlink>
    </w:p>
    <w:p>
      <w:r>
        <w:rPr>
          <w:b/>
        </w:rPr>
        <w:t>Group E - Identification and Econometric Methodology</w:t>
      </w:r>
    </w:p>
    <w:p>
      <w:r>
        <w:t>Goldsmith-Pinkham, P., Sorkin, I., &amp; Swift, H. (2020). Bartik instruments: What, when, why, and how. American Economic Review, 110(8), 2586-2624.</w:t>
      </w:r>
      <w:r>
        <w:t xml:space="preserve"> </w:t>
      </w:r>
      <w:hyperlink r:id="rId31">
        <w:r>
          <w:rPr>
            <w:rStyle w:val="Hyperlink"/>
          </w:rPr>
          <w:t>https://doi.org/10.1257/aer.20181047</w:t>
        </w:r>
      </w:hyperlink>
    </w:p>
    <w:p>
      <w:r>
        <w:rPr>
          <w:b/>
        </w:rPr>
        <w:t>Group F - Data Sources</w:t>
      </w:r>
    </w:p>
    <w:p>
      <w:r>
        <w:t>OECD (2024). STAN Industrial Analysis Database. OECD.Stat.</w:t>
      </w:r>
    </w:p>
    <w:p>
      <w:r>
        <w:t>OECD (2024). AI Patents Database (EPO Priority Filings). OECD.Stat.</w:t>
      </w:r>
    </w:p>
    <w:p>
      <w:r>
        <w:t>OECD (2024). ENV-TECH Database (EPO Y02 Patent Classification). OECD.Stat.</w:t>
      </w:r>
    </w:p>
    <w:p>
      <w:r>
        <w:t>EDGAR (2023). Emissions Database for Global Atmospheric Research. European Commission, Joint Research Centre.</w:t>
      </w:r>
    </w:p>
    <w:p>
      <w:r>
        <w:t>UNIDO (2023). INDSTAT4 Industrial Statistics Database.</w:t>
      </w:r>
    </w:p>
    <w:p>
      <w:r>
        <w:t>WIPO (2023). WIPO Statistics Database: AI Patents and Green Inventory (IPC Green Inventory Field 24).</w:t>
      </w:r>
    </w:p>
    <w:p>
      <w:r>
        <w:t>World Bank (2023). World Development Indicators.</w:t>
      </w:r>
    </w:p>
    <w:p>
      <w:r>
        <w:t>World Bank (2023). Worldwide Governance Indicators.</w:t>
      </w:r>
    </w:p>
    <w:p>
      <w:pPr>
        <w:pStyle w:val="Heading1"/>
      </w:pPr>
      <w:r>
        <w:t>Appendix A</w:t>
      </w:r>
    </w:p>
    <w:p>
      <w:r>
        <w:t>This appendix reports the full robustness battery for the labor-share margin (Part C), summarized in Section 6, so the main-text result can be read against its complete robustness record.</w:t>
      </w:r>
    </w:p>
    <w:p>
      <w:r>
        <w:t>Table A1 reports five robustness checks on the OECD main result: separate FE-IV estimates for high-capital and low-capital subsamples (R1), an alternative equal-weighting scheme across industries in place of the ALP crosswalk weights (R2), a placebo exercise with randomly shuffled industry weights (R4), re-estimation on the full ten-industry A*10 sample (R5), and high-skill versus low-skill subsample splits (R2b). The AI Patent Intensity coefficient stays negative to small and of broadly similar magnitude across R1, R2 and R5, while the R4 placebo coefficient is of a different order of magnitude and sign from the main estimate, consistent with the placebo weighting having removed the genuine identifying variation.</w:t>
      </w:r>
    </w:p>
    <w:p/>
    <w:p>
      <w:pPr>
        <w:pStyle w:val="Caption"/>
        <w:jc w:val="center"/>
      </w:pPr>
      <w:r>
        <w:t>Table A1. Robustness Checks: AI Patent Intensity and the Labor Income Share (OECD Panel)</w:t>
      </w:r>
    </w:p>
    <w:sectPr w:rsidR="00573D3A">
      <w:headerReference w:type="default" r:id="rId42"/>
      <w:footerReference w:type="default" r:id="rId43"/>
      <w:pgSz w:w="11906" w:h="16838"/>
      <w:pgMar w:top="1701" w:right="1701" w:bottom="1701" w:left="1701" w:header="708" w:footer="708" w:gutter="0"/>
      <w:cols w:space="720"/>
      <w:docGrid w:linePitch="360"/>
    </w:sectPr>
    <w:tbl>
      <w:tblPr>
        <w:tblStyle w:val="Table"/>
        <w:tblW w:type="pct" w:w="4696"/>
        <w:tblLayout w:type="fixed"/>
        <w:tblLook w:firstRow="1" w:lastRow="1" w:firstColumn="0" w:lastColumn="0" w:noHBand="0" w:noVBand="0" w:val="0020"/>
        <w:tblCaption w:val="Book Table 1. Sample Architecture and Headline FE-IV Estimates Across Parts A-C"/>
      </w:tblPr>
      <w:tblGrid>
        <w:gridCol w:w="481"/>
        <w:gridCol w:w="481"/>
        <w:gridCol w:w="1337"/>
        <w:gridCol w:w="856"/>
        <w:gridCol w:w="642"/>
        <w:gridCol w:w="588"/>
        <w:gridCol w:w="642"/>
        <w:gridCol w:w="642"/>
        <w:gridCol w:w="802"/>
        <w:gridCol w:w="481"/>
        <w:gridCol w:w="481"/>
      </w:tblGrid>
      <w:tr>
        <w:trPr>
          <w:tblHeader w:val="on"/>
        </w:trPr>
        <w:tc>
          <w:tcPr/>
          <w:p>
            <w:pPr>
              <w:pStyle w:val="Compact"/>
            </w:pPr>
            <w:r>
              <w:t xml:space="preserve">Part</w:t>
            </w:r>
          </w:p>
        </w:tc>
        <w:tc>
          <w:tcPr/>
          <w:p>
            <w:pPr>
              <w:pStyle w:val="Compact"/>
            </w:pPr>
            <w:r>
              <w:t xml:space="preserve">Sample</w:t>
            </w:r>
          </w:p>
        </w:tc>
        <w:tc>
          <w:tcPr/>
          <w:p>
            <w:pPr>
              <w:pStyle w:val="Compact"/>
            </w:pPr>
            <w:r>
              <w:t xml:space="preserve">Outcome</w:t>
            </w:r>
          </w:p>
        </w:tc>
        <w:tc>
          <w:tcPr/>
          <w:p>
            <w:pPr>
              <w:pStyle w:val="Compact"/>
            </w:pPr>
            <w:r>
              <w:t xml:space="preserve">Key regressor</w:t>
            </w:r>
          </w:p>
        </w:tc>
        <w:tc>
          <w:tcPr/>
          <w:p>
            <w:pPr>
              <w:pStyle w:val="Compact"/>
            </w:pPr>
            <w:r>
              <w:t xml:space="preserve">Countries</w:t>
            </w:r>
          </w:p>
        </w:tc>
        <w:tc>
          <w:tcPr/>
          <w:p>
            <w:pPr>
              <w:pStyle w:val="Compact"/>
            </w:pPr>
            <w:r>
              <w:t xml:space="preserve">Pairs</w:t>
            </w:r>
          </w:p>
        </w:tc>
        <w:tc>
          <w:tcPr/>
          <w:p>
            <w:pPr>
              <w:pStyle w:val="Compact"/>
            </w:pPr>
            <w:r>
              <w:t xml:space="preserve">Obs</w:t>
            </w:r>
          </w:p>
        </w:tc>
        <w:tc>
          <w:tcPr/>
          <w:p>
            <w:pPr>
              <w:pStyle w:val="Compact"/>
            </w:pPr>
            <w:r>
              <w:t xml:space="preserve">Years</w:t>
            </w:r>
          </w:p>
        </w:tc>
        <w:tc>
          <w:tcPr/>
          <w:p>
            <w:pPr>
              <w:pStyle w:val="Compact"/>
            </w:pPr>
            <w:r>
              <w:t xml:space="preserve">beta (FE-IV)</w:t>
            </w:r>
          </w:p>
        </w:tc>
        <w:tc>
          <w:tcPr/>
          <w:p>
            <w:pPr>
              <w:pStyle w:val="Compact"/>
            </w:pPr>
            <w:r>
              <w:t xml:space="preserve">SE</w:t>
            </w:r>
          </w:p>
        </w:tc>
        <w:tc>
          <w:tcPr/>
          <w:p>
            <w:pPr>
              <w:pStyle w:val="Compact"/>
            </w:pPr>
            <w:r>
              <w:t xml:space="preserve">p&lt;0.10</w:t>
            </w:r>
          </w:p>
        </w:tc>
      </w:tr>
      <w:tr>
        <w:tc>
          <w:tcPr/>
          <w:p>
            <w:pPr>
              <w:pStyle w:val="Compact"/>
            </w:pPr>
            <w:r>
              <w:t xml:space="preserve">Part A</w:t>
            </w:r>
          </w:p>
        </w:tc>
        <w:tc>
          <w:tcPr/>
          <w:p>
            <w:pPr>
              <w:pStyle w:val="Compact"/>
            </w:pPr>
            <w:r>
              <w:t xml:space="preserve">OECD</w:t>
            </w:r>
          </w:p>
        </w:tc>
        <w:tc>
          <w:tcPr/>
          <w:p>
            <w:pPr>
              <w:pStyle w:val="Compact"/>
            </w:pPr>
            <w:r>
              <w:t xml:space="preserve">ln CO2 intensity</w:t>
            </w:r>
          </w:p>
        </w:tc>
        <w:tc>
          <w:tcPr/>
          <w:p>
            <w:pPr>
              <w:pStyle w:val="Compact"/>
            </w:pPr>
            <w:r>
              <w:t xml:space="preserve">AIPI</w:t>
            </w:r>
          </w:p>
        </w:tc>
        <w:tc>
          <w:tcPr/>
          <w:p>
            <w:pPr>
              <w:pStyle w:val="Compact"/>
            </w:pPr>
            <w:r>
              <w:t xml:space="preserve">25.0000</w:t>
            </w:r>
          </w:p>
        </w:tc>
        <w:tc>
          <w:tcPr/>
          <w:p>
            <w:pPr>
              <w:pStyle w:val="Compact"/>
            </w:pPr>
            <w:r>
              <w:t xml:space="preserve">75.0000</w:t>
            </w:r>
          </w:p>
        </w:tc>
        <w:tc>
          <w:tcPr/>
          <w:p>
            <w:pPr>
              <w:pStyle w:val="Compact"/>
            </w:pPr>
            <w:r>
              <w:t xml:space="preserve">936.0000</w:t>
            </w:r>
          </w:p>
        </w:tc>
        <w:tc>
          <w:tcPr/>
          <w:p>
            <w:pPr>
              <w:pStyle w:val="Compact"/>
            </w:pPr>
            <w:r>
              <w:t xml:space="preserve">2010-2022</w:t>
            </w:r>
          </w:p>
        </w:tc>
        <w:tc>
          <w:tcPr/>
          <w:p>
            <w:pPr>
              <w:pStyle w:val="Compact"/>
            </w:pPr>
            <w:r>
              <w:t xml:space="preserve">-0.0965</w:t>
            </w:r>
          </w:p>
        </w:tc>
        <w:tc>
          <w:tcPr/>
          <w:p>
            <w:pPr>
              <w:pStyle w:val="Compact"/>
            </w:pPr>
            <w:r>
              <w:t xml:space="preserve">0.0327</w:t>
            </w:r>
          </w:p>
        </w:tc>
        <w:tc>
          <w:tcPr/>
          <w:p>
            <w:pPr>
              <w:pStyle w:val="Compact"/>
            </w:pPr>
            <w:r>
              <w:t xml:space="preserve">yes</w:t>
            </w:r>
          </w:p>
        </w:tc>
      </w:tr>
      <w:tr>
        <w:tc>
          <w:tcPr/>
          <w:p>
            <w:pPr>
              <w:pStyle w:val="Compact"/>
            </w:pPr>
            <w:r>
              <w:t xml:space="preserve">Part A</w:t>
            </w:r>
          </w:p>
        </w:tc>
        <w:tc>
          <w:tcPr/>
          <w:p>
            <w:pPr>
              <w:pStyle w:val="Compact"/>
            </w:pPr>
            <w:r>
              <w:t xml:space="preserve">EM</w:t>
            </w:r>
          </w:p>
        </w:tc>
        <w:tc>
          <w:tcPr/>
          <w:p>
            <w:pPr>
              <w:pStyle w:val="Compact"/>
            </w:pPr>
            <w:r>
              <w:t xml:space="preserve">ln CO2 intensity</w:t>
            </w:r>
          </w:p>
        </w:tc>
        <w:tc>
          <w:tcPr/>
          <w:p>
            <w:pPr>
              <w:pStyle w:val="Compact"/>
            </w:pPr>
            <w:r>
              <w:t xml:space="preserve">AIPI_EM</w:t>
            </w:r>
          </w:p>
        </w:tc>
        <w:tc>
          <w:tcPr/>
          <w:p>
            <w:pPr>
              <w:pStyle w:val="Compact"/>
            </w:pPr>
            <w:r>
              <w:t xml:space="preserve">43.0000</w:t>
            </w:r>
          </w:p>
        </w:tc>
        <w:tc>
          <w:tcPr/>
          <w:p>
            <w:pPr>
              <w:pStyle w:val="Compact"/>
            </w:pPr>
            <w:r>
              <w:t xml:space="preserve">74.0000</w:t>
            </w:r>
          </w:p>
        </w:tc>
        <w:tc>
          <w:tcPr/>
          <w:p>
            <w:pPr>
              <w:pStyle w:val="Compact"/>
            </w:pPr>
            <w:r>
              <w:t xml:space="preserve">591.0000</w:t>
            </w:r>
          </w:p>
        </w:tc>
        <w:tc>
          <w:tcPr/>
          <w:p>
            <w:pPr>
              <w:pStyle w:val="Compact"/>
            </w:pPr>
            <w:r>
              <w:t xml:space="preserve">2012-2022</w:t>
            </w:r>
          </w:p>
        </w:tc>
        <w:tc>
          <w:tcPr/>
          <w:p>
            <w:pPr>
              <w:pStyle w:val="Compact"/>
            </w:pPr>
            <w:r>
              <w:t xml:space="preserve">0.8012</w:t>
            </w:r>
          </w:p>
        </w:tc>
        <w:tc>
          <w:tcPr/>
          <w:p>
            <w:pPr>
              <w:pStyle w:val="Compact"/>
            </w:pPr>
            <w:r>
              <w:t xml:space="preserve">0.6953</w:t>
            </w:r>
          </w:p>
        </w:tc>
        <w:tc>
          <w:tcPr/>
          <w:p>
            <w:pPr>
              <w:pStyle w:val="Compact"/>
            </w:pPr>
            <w:r>
              <w:t xml:space="preserve">no</w:t>
            </w:r>
          </w:p>
        </w:tc>
      </w:tr>
      <w:tr>
        <w:tc>
          <w:tcPr/>
          <w:p>
            <w:pPr>
              <w:pStyle w:val="Compact"/>
            </w:pPr>
            <w:r>
              <w:t xml:space="preserve">Part B</w:t>
            </w:r>
          </w:p>
        </w:tc>
        <w:tc>
          <w:tcPr/>
          <w:p>
            <w:pPr>
              <w:pStyle w:val="Compact"/>
            </w:pPr>
            <w:r>
              <w:t xml:space="preserve">OECD</w:t>
            </w:r>
          </w:p>
        </w:tc>
        <w:tc>
          <w:tcPr/>
          <w:p>
            <w:pPr>
              <w:pStyle w:val="Compact"/>
            </w:pPr>
            <w:r>
              <w:t xml:space="preserve">ln labour productivity</w:t>
            </w:r>
          </w:p>
        </w:tc>
        <w:tc>
          <w:tcPr/>
          <w:p>
            <w:pPr>
              <w:pStyle w:val="Compact"/>
            </w:pPr>
            <w:r>
              <w:t xml:space="preserve">ln_GTI</w:t>
            </w:r>
          </w:p>
        </w:tc>
        <w:tc>
          <w:tcPr/>
          <w:p>
            <w:pPr>
              <w:pStyle w:val="Compact"/>
            </w:pPr>
            <w:r>
              <w:t xml:space="preserve">25.0000</w:t>
            </w:r>
          </w:p>
        </w:tc>
        <w:tc>
          <w:tcPr/>
          <w:p>
            <w:pPr>
              <w:pStyle w:val="Compact"/>
            </w:pPr>
            <w:r>
              <w:t xml:space="preserve">175.0000</w:t>
            </w:r>
          </w:p>
        </w:tc>
        <w:tc>
          <w:tcPr/>
          <w:p>
            <w:pPr>
              <w:pStyle w:val="Compact"/>
            </w:pPr>
            <w:r>
              <w:t xml:space="preserve">1847.0000</w:t>
            </w:r>
          </w:p>
        </w:tc>
        <w:tc>
          <w:tcPr/>
          <w:p>
            <w:pPr>
              <w:pStyle w:val="Compact"/>
            </w:pPr>
            <w:r>
              <w:t xml:space="preserve">2012-2022</w:t>
            </w:r>
          </w:p>
        </w:tc>
        <w:tc>
          <w:tcPr/>
          <w:p>
            <w:pPr>
              <w:pStyle w:val="Compact"/>
            </w:pPr>
            <w:r>
              <w:t xml:space="preserve">0.0187</w:t>
            </w:r>
          </w:p>
        </w:tc>
        <w:tc>
          <w:tcPr/>
          <w:p>
            <w:pPr>
              <w:pStyle w:val="Compact"/>
            </w:pPr>
            <w:r>
              <w:t xml:space="preserve">0.0069</w:t>
            </w:r>
          </w:p>
        </w:tc>
        <w:tc>
          <w:tcPr/>
          <w:p>
            <w:pPr>
              <w:pStyle w:val="Compact"/>
            </w:pPr>
            <w:r>
              <w:t xml:space="preserve">yes</w:t>
            </w:r>
          </w:p>
        </w:tc>
      </w:tr>
      <w:tr>
        <w:tc>
          <w:tcPr/>
          <w:p>
            <w:pPr>
              <w:pStyle w:val="Compact"/>
            </w:pPr>
            <w:r>
              <w:t xml:space="preserve">Part B</w:t>
            </w:r>
          </w:p>
        </w:tc>
        <w:tc>
          <w:tcPr/>
          <w:p>
            <w:pPr>
              <w:pStyle w:val="Compact"/>
            </w:pPr>
            <w:r>
              <w:t xml:space="preserve">EM</w:t>
            </w:r>
          </w:p>
        </w:tc>
        <w:tc>
          <w:tcPr/>
          <w:p>
            <w:pPr>
              <w:pStyle w:val="Compact"/>
            </w:pPr>
            <w:r>
              <w:t xml:space="preserve">ln labour productivity</w:t>
            </w:r>
          </w:p>
        </w:tc>
        <w:tc>
          <w:tcPr/>
          <w:p>
            <w:pPr>
              <w:pStyle w:val="Compact"/>
            </w:pPr>
            <w:r>
              <w:t xml:space="preserve">ln_GTI_EM</w:t>
            </w:r>
          </w:p>
        </w:tc>
        <w:tc>
          <w:tcPr/>
          <w:p>
            <w:pPr>
              <w:pStyle w:val="Compact"/>
            </w:pPr>
            <w:r>
              <w:t xml:space="preserve">43.0000</w:t>
            </w:r>
          </w:p>
        </w:tc>
        <w:tc>
          <w:tcPr/>
          <w:p>
            <w:pPr>
              <w:pStyle w:val="Compact"/>
            </w:pPr>
            <w:r>
              <w:t xml:space="preserve">72.0000</w:t>
            </w:r>
          </w:p>
        </w:tc>
        <w:tc>
          <w:tcPr/>
          <w:p>
            <w:pPr>
              <w:pStyle w:val="Compact"/>
            </w:pPr>
            <w:r>
              <w:t xml:space="preserve">536.0000</w:t>
            </w:r>
          </w:p>
        </w:tc>
        <w:tc>
          <w:tcPr/>
          <w:p>
            <w:pPr>
              <w:pStyle w:val="Compact"/>
            </w:pPr>
            <w:r>
              <w:t xml:space="preserve">2012-2022</w:t>
            </w:r>
          </w:p>
        </w:tc>
        <w:tc>
          <w:tcPr/>
          <w:p>
            <w:pPr>
              <w:pStyle w:val="Compact"/>
            </w:pPr>
            <w:r>
              <w:t xml:space="preserve">0.2132</w:t>
            </w:r>
          </w:p>
        </w:tc>
        <w:tc>
          <w:tcPr/>
          <w:p>
            <w:pPr>
              <w:pStyle w:val="Compact"/>
            </w:pPr>
            <w:r>
              <w:t xml:space="preserve">0.2033</w:t>
            </w:r>
          </w:p>
        </w:tc>
        <w:tc>
          <w:tcPr/>
          <w:p>
            <w:pPr>
              <w:pStyle w:val="Compact"/>
            </w:pPr>
            <w:r>
              <w:t xml:space="preserve">no</w:t>
            </w:r>
          </w:p>
        </w:tc>
      </w:tr>
      <w:tr>
        <w:tc>
          <w:tcPr/>
          <w:p>
            <w:pPr>
              <w:pStyle w:val="Compact"/>
            </w:pPr>
            <w:r>
              <w:t xml:space="preserve">Part C</w:t>
            </w:r>
          </w:p>
        </w:tc>
        <w:tc>
          <w:tcPr/>
          <w:p>
            <w:pPr>
              <w:pStyle w:val="Compact"/>
            </w:pPr>
            <w:r>
              <w:t xml:space="preserve">OECD</w:t>
            </w:r>
          </w:p>
        </w:tc>
        <w:tc>
          <w:tcPr/>
          <w:p>
            <w:pPr>
              <w:pStyle w:val="Compact"/>
            </w:pPr>
            <w:r>
              <w:t xml:space="preserve">ln labour income share</w:t>
            </w:r>
          </w:p>
        </w:tc>
        <w:tc>
          <w:tcPr/>
          <w:p>
            <w:pPr>
              <w:pStyle w:val="Compact"/>
            </w:pPr>
            <w:r>
              <w:t xml:space="preserve">AIPI</w:t>
            </w:r>
          </w:p>
        </w:tc>
        <w:tc>
          <w:tcPr/>
          <w:p>
            <w:pPr>
              <w:pStyle w:val="Compact"/>
            </w:pPr>
            <w:r>
              <w:t xml:space="preserve">25.0000</w:t>
            </w:r>
          </w:p>
        </w:tc>
        <w:tc>
          <w:tcPr/>
          <w:p>
            <w:pPr>
              <w:pStyle w:val="Compact"/>
            </w:pPr>
            <w:r>
              <w:t xml:space="preserve">250.0000</w:t>
            </w:r>
          </w:p>
        </w:tc>
        <w:tc>
          <w:tcPr/>
          <w:p>
            <w:pPr>
              <w:pStyle w:val="Compact"/>
            </w:pPr>
            <w:r>
              <w:t xml:space="preserve">3120.0000</w:t>
            </w:r>
          </w:p>
        </w:tc>
        <w:tc>
          <w:tcPr/>
          <w:p>
            <w:pPr>
              <w:pStyle w:val="Compact"/>
            </w:pPr>
            <w:r>
              <w:t xml:space="preserve">2010-2022</w:t>
            </w:r>
          </w:p>
        </w:tc>
        <w:tc>
          <w:tcPr/>
          <w:p>
            <w:pPr>
              <w:pStyle w:val="Compact"/>
            </w:pPr>
            <w:r>
              <w:t xml:space="preserve">0.0114</w:t>
            </w:r>
          </w:p>
        </w:tc>
        <w:tc>
          <w:tcPr/>
          <w:p>
            <w:pPr>
              <w:pStyle w:val="Compact"/>
            </w:pPr>
            <w:r>
              <w:t xml:space="preserve">0.0255</w:t>
            </w:r>
          </w:p>
        </w:tc>
        <w:tc>
          <w:tcPr/>
          <w:p>
            <w:pPr>
              <w:pStyle w:val="Compact"/>
            </w:pPr>
            <w:r>
              <w:t xml:space="preserve">no</w:t>
            </w:r>
          </w:p>
        </w:tc>
      </w:tr>
      <w:tr>
        <w:tc>
          <w:tcPr/>
          <w:p>
            <w:pPr>
              <w:pStyle w:val="Compact"/>
            </w:pPr>
            <w:r>
              <w:t xml:space="preserve">Part C</w:t>
            </w:r>
          </w:p>
        </w:tc>
        <w:tc>
          <w:tcPr/>
          <w:p>
            <w:pPr>
              <w:pStyle w:val="Compact"/>
            </w:pPr>
            <w:r>
              <w:t xml:space="preserve">EM</w:t>
            </w:r>
          </w:p>
        </w:tc>
        <w:tc>
          <w:tcPr/>
          <w:p>
            <w:pPr>
              <w:pStyle w:val="Compact"/>
            </w:pPr>
            <w:r>
              <w:t xml:space="preserve">ln labour income share</w:t>
            </w:r>
          </w:p>
        </w:tc>
        <w:tc>
          <w:tcPr/>
          <w:p>
            <w:pPr>
              <w:pStyle w:val="Compact"/>
            </w:pPr>
            <w:r>
              <w:t xml:space="preserve">AIPI_EM</w:t>
            </w:r>
          </w:p>
        </w:tc>
        <w:tc>
          <w:tcPr/>
          <w:p>
            <w:pPr>
              <w:pStyle w:val="Compact"/>
            </w:pPr>
            <w:r>
              <w:t xml:space="preserve">39.0000</w:t>
            </w:r>
          </w:p>
        </w:tc>
        <w:tc>
          <w:tcPr/>
          <w:p>
            <w:pPr>
              <w:pStyle w:val="Compact"/>
            </w:pPr>
            <w:r>
              <w:t xml:space="preserve">67.0000</w:t>
            </w:r>
          </w:p>
        </w:tc>
        <w:tc>
          <w:tcPr/>
          <w:p>
            <w:pPr>
              <w:pStyle w:val="Compact"/>
            </w:pPr>
            <w:r>
              <w:t xml:space="preserve">530.0000</w:t>
            </w:r>
          </w:p>
        </w:tc>
        <w:tc>
          <w:tcPr/>
          <w:p>
            <w:pPr>
              <w:pStyle w:val="Compact"/>
            </w:pPr>
            <w:r>
              <w:t xml:space="preserve">2012-2022</w:t>
            </w:r>
          </w:p>
        </w:tc>
        <w:tc>
          <w:tcPr/>
          <w:p>
            <w:pPr>
              <w:pStyle w:val="Compact"/>
            </w:pPr>
            <w:r>
              <w:t xml:space="preserve">0.4550</w:t>
            </w:r>
          </w:p>
        </w:tc>
        <w:tc>
          <w:tcPr/>
          <w:p>
            <w:pPr>
              <w:pStyle w:val="Compact"/>
            </w:pPr>
            <w:r>
              <w:t xml:space="preserve">0.3392</w:t>
            </w:r>
          </w:p>
        </w:tc>
        <w:tc>
          <w:tcPr/>
          <w:p>
            <w:pPr>
              <w:pStyle w:val="Compact"/>
            </w:pPr>
            <w:r>
              <w:t xml:space="preserve">no</w:t>
            </w:r>
          </w:p>
        </w:tc>
      </w:tr>
      <w:tr>
        <w:tc>
          <w:tcPr>
            <w:gridSpan w:val="11"/>
          </w:tcPr>
          <w:p>
            <w:pPr>
              <w:pStyle w:val="Compact"/>
            </w:pPr>
            <w:r>
              <w:t xml:space="preserve">Pairs = country x industry. beta = coefficient on the part’s key technology regressor (FE-IV main spec).</w:t>
            </w:r>
          </w:p>
        </w:tc>
      </w:tr>
    </w:tbl>
    <w:tbl>
      <w:tblPr>
        <w:tblStyle w:val="Table"/>
        <w:tblW w:type="pct" w:w="4881"/>
        <w:tblLayout w:type="fixed"/>
        <w:tblLook w:firstRow="1" w:lastRow="1" w:firstColumn="0" w:lastColumn="0" w:noHBand="0" w:noVBand="0" w:val="0020"/>
        <w:tblCaption w:val="Book Table 2. Headline FE-IV Estimates Across Parts A-C: Environment, Efficiency and Distribution (OECD vs EM)"/>
      </w:tblPr>
      <w:tblGrid>
        <w:gridCol w:w="1470"/>
        <w:gridCol w:w="1056"/>
        <w:gridCol w:w="980"/>
        <w:gridCol w:w="1056"/>
        <w:gridCol w:w="980"/>
        <w:gridCol w:w="1131"/>
        <w:gridCol w:w="1056"/>
      </w:tblGrid>
      <w:tr>
        <w:trPr>
          <w:tblHeader w:val="on"/>
        </w:trPr>
        <w:tc>
          <w:tcPr/>
          <w:p>
            <w:pPr>
              <w:pStyle w:val="Compact"/>
            </w:pPr>
          </w:p>
        </w:tc>
        <w:tc>
          <w:tcPr/>
          <w:p>
            <w:pPr>
              <w:pStyle w:val="Compact"/>
              <w:numPr>
                <w:ilvl w:val="0"/>
                <w:numId w:val="1001"/>
              </w:numPr>
            </w:pPr>
            <w:r>
              <w:t xml:space="preserve">Part A OECD: CO2 int.</w:t>
            </w:r>
          </w:p>
        </w:tc>
        <w:tc>
          <w:tcPr/>
          <w:p>
            <w:pPr>
              <w:pStyle w:val="Compact"/>
              <w:numPr>
                <w:ilvl w:val="0"/>
                <w:numId w:val="1002"/>
              </w:numPr>
            </w:pPr>
            <w:r>
              <w:t xml:space="preserve">Part A EM: CO2 int.</w:t>
            </w:r>
          </w:p>
        </w:tc>
        <w:tc>
          <w:tcPr/>
          <w:p>
            <w:pPr>
              <w:pStyle w:val="Compact"/>
              <w:numPr>
                <w:ilvl w:val="0"/>
                <w:numId w:val="1003"/>
              </w:numPr>
            </w:pPr>
            <w:r>
              <w:t xml:space="preserve">Part B OECD: Product.</w:t>
            </w:r>
          </w:p>
        </w:tc>
        <w:tc>
          <w:tcPr/>
          <w:p>
            <w:pPr>
              <w:pStyle w:val="Compact"/>
              <w:numPr>
                <w:ilvl w:val="0"/>
                <w:numId w:val="1004"/>
              </w:numPr>
            </w:pPr>
            <w:r>
              <w:t xml:space="preserve">Part B EM: Product.</w:t>
            </w:r>
          </w:p>
        </w:tc>
        <w:tc>
          <w:tcPr/>
          <w:p>
            <w:pPr>
              <w:pStyle w:val="Compact"/>
              <w:numPr>
                <w:ilvl w:val="0"/>
                <w:numId w:val="1005"/>
              </w:numPr>
            </w:pPr>
            <w:r>
              <w:t xml:space="preserve">Part C OECD: Lab. share</w:t>
            </w:r>
          </w:p>
        </w:tc>
        <w:tc>
          <w:tcPr/>
          <w:p>
            <w:pPr>
              <w:pStyle w:val="Compact"/>
              <w:numPr>
                <w:ilvl w:val="0"/>
                <w:numId w:val="1006"/>
              </w:numPr>
            </w:pPr>
            <w:r>
              <w:t xml:space="preserve">Part C EM: Lab. share</w:t>
            </w:r>
          </w:p>
        </w:tc>
      </w:tr>
      <w:tr>
        <w:tc>
          <w:tcPr/>
          <w:p>
            <w:pPr>
              <w:pStyle w:val="Compact"/>
            </w:pPr>
            <w:r>
              <w:t xml:space="preserve">AI Patent Intensity (ln, IV) [OECD]</w:t>
            </w:r>
          </w:p>
        </w:tc>
        <w:tc>
          <w:tcPr/>
          <w:p>
            <w:pPr>
              <w:pStyle w:val="Compact"/>
            </w:pPr>
            <w:r>
              <w:t xml:space="preserve">-0.0965***</w:t>
            </w:r>
          </w:p>
        </w:tc>
        <w:tc>
          <w:tcPr/>
          <w:p>
            <w:pPr>
              <w:pStyle w:val="Compact"/>
            </w:pPr>
          </w:p>
        </w:tc>
        <w:tc>
          <w:tcPr/>
          <w:p>
            <w:pPr>
              <w:pStyle w:val="Compact"/>
            </w:pPr>
          </w:p>
        </w:tc>
        <w:tc>
          <w:tcPr/>
          <w:p>
            <w:pPr>
              <w:pStyle w:val="Compact"/>
            </w:pPr>
          </w:p>
        </w:tc>
        <w:tc>
          <w:tcPr/>
          <w:p>
            <w:pPr>
              <w:pStyle w:val="Compact"/>
            </w:pPr>
            <w:r>
              <w:t xml:space="preserve">0.0114</w:t>
            </w:r>
          </w:p>
        </w:tc>
        <w:tc>
          <w:tcPr/>
          <w:p>
            <w:pPr>
              <w:pStyle w:val="Compact"/>
            </w:pPr>
          </w:p>
        </w:tc>
      </w:tr>
      <w:tr>
        <w:tc>
          <w:tcPr/>
          <w:p>
            <w:pPr>
              <w:pStyle w:val="Compact"/>
            </w:pPr>
          </w:p>
        </w:tc>
        <w:tc>
          <w:tcPr/>
          <w:p>
            <w:pPr>
              <w:pStyle w:val="Compact"/>
            </w:pPr>
            <w:r>
              <w:t xml:space="preserve">(0.0327)</w:t>
            </w:r>
          </w:p>
        </w:tc>
        <w:tc>
          <w:tcPr/>
          <w:p>
            <w:pPr>
              <w:pStyle w:val="Compact"/>
            </w:pPr>
          </w:p>
        </w:tc>
        <w:tc>
          <w:tcPr/>
          <w:p>
            <w:pPr>
              <w:pStyle w:val="Compact"/>
            </w:pPr>
          </w:p>
        </w:tc>
        <w:tc>
          <w:tcPr/>
          <w:p>
            <w:pPr>
              <w:pStyle w:val="Compact"/>
            </w:pPr>
          </w:p>
        </w:tc>
        <w:tc>
          <w:tcPr/>
          <w:p>
            <w:pPr>
              <w:pStyle w:val="Compact"/>
            </w:pPr>
            <w:r>
              <w:t xml:space="preserve">(0.0255)</w:t>
            </w:r>
          </w:p>
        </w:tc>
        <w:tc>
          <w:tcPr/>
          <w:p>
            <w:pPr>
              <w:pStyle w:val="Compact"/>
            </w:pPr>
          </w:p>
        </w:tc>
      </w:tr>
      <w:tr>
        <w:tc>
          <w:tcPr/>
          <w:p>
            <w:pPr>
              <w:pStyle w:val="Compact"/>
            </w:pPr>
            <w:r>
              <w:t xml:space="preserve">AI Patent Intensity (ln, IV) [EM]</w:t>
            </w:r>
          </w:p>
        </w:tc>
        <w:tc>
          <w:tcPr/>
          <w:p>
            <w:pPr>
              <w:pStyle w:val="Compact"/>
            </w:pPr>
          </w:p>
        </w:tc>
        <w:tc>
          <w:tcPr/>
          <w:p>
            <w:pPr>
              <w:pStyle w:val="Compact"/>
            </w:pPr>
            <w:r>
              <w:t xml:space="preserve">0.8012</w:t>
            </w:r>
          </w:p>
        </w:tc>
        <w:tc>
          <w:tcPr/>
          <w:p>
            <w:pPr>
              <w:pStyle w:val="Compact"/>
            </w:pPr>
          </w:p>
        </w:tc>
        <w:tc>
          <w:tcPr/>
          <w:p>
            <w:pPr>
              <w:pStyle w:val="Compact"/>
            </w:pPr>
          </w:p>
        </w:tc>
        <w:tc>
          <w:tcPr/>
          <w:p>
            <w:pPr>
              <w:pStyle w:val="Compact"/>
            </w:pPr>
          </w:p>
        </w:tc>
        <w:tc>
          <w:tcPr/>
          <w:p>
            <w:pPr>
              <w:pStyle w:val="Compact"/>
            </w:pPr>
            <w:r>
              <w:t xml:space="preserve">0.4550</w:t>
            </w:r>
          </w:p>
        </w:tc>
      </w:tr>
      <w:tr>
        <w:tc>
          <w:tcPr/>
          <w:p>
            <w:pPr>
              <w:pStyle w:val="Compact"/>
            </w:pPr>
          </w:p>
        </w:tc>
        <w:tc>
          <w:tcPr/>
          <w:p>
            <w:pPr>
              <w:pStyle w:val="Compact"/>
            </w:pPr>
          </w:p>
        </w:tc>
        <w:tc>
          <w:tcPr/>
          <w:p>
            <w:pPr>
              <w:pStyle w:val="Compact"/>
            </w:pPr>
            <w:r>
              <w:t xml:space="preserve">(0.6953)</w:t>
            </w:r>
          </w:p>
        </w:tc>
        <w:tc>
          <w:tcPr/>
          <w:p>
            <w:pPr>
              <w:pStyle w:val="Compact"/>
            </w:pPr>
          </w:p>
        </w:tc>
        <w:tc>
          <w:tcPr/>
          <w:p>
            <w:pPr>
              <w:pStyle w:val="Compact"/>
            </w:pPr>
          </w:p>
        </w:tc>
        <w:tc>
          <w:tcPr/>
          <w:p>
            <w:pPr>
              <w:pStyle w:val="Compact"/>
            </w:pPr>
          </w:p>
        </w:tc>
        <w:tc>
          <w:tcPr/>
          <w:p>
            <w:pPr>
              <w:pStyle w:val="Compact"/>
            </w:pPr>
            <w:r>
              <w:t xml:space="preserve">(0.3392)</w:t>
            </w:r>
          </w:p>
        </w:tc>
      </w:tr>
      <w:tr>
        <w:tc>
          <w:tcPr/>
          <w:p>
            <w:pPr>
              <w:pStyle w:val="Compact"/>
            </w:pPr>
            <w:r>
              <w:t xml:space="preserve">Green Tech Intensity (ln, IV) [OECD]</w:t>
            </w:r>
          </w:p>
        </w:tc>
        <w:tc>
          <w:tcPr/>
          <w:p>
            <w:pPr>
              <w:pStyle w:val="Compact"/>
            </w:pPr>
          </w:p>
        </w:tc>
        <w:tc>
          <w:tcPr/>
          <w:p>
            <w:pPr>
              <w:pStyle w:val="Compact"/>
            </w:pPr>
          </w:p>
        </w:tc>
        <w:tc>
          <w:tcPr/>
          <w:p>
            <w:pPr>
              <w:pStyle w:val="Compact"/>
            </w:pPr>
            <w:r>
              <w:t xml:space="preserve">0.0187***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(0.0069)</w:t>
            </w:r>
          </w:p>
        </w:tc>
        <w:tc>
          <w:tcPr/>
          <w:p>
            <w:pPr>
              <w:pStyle w:val="Compact"/>
            </w:pPr>
          </w:p>
        </w:tc>
        <w:tc>
          <w:tcPr/>
          <w:p>
            <w:pPr>
              <w:pStyle w:val="Compact"/>
            </w:pPr>
          </w:p>
        </w:tc>
        <w:tc>
          <w:tcPr/>
          <w:p>
            <w:pPr>
              <w:pStyle w:val="Compact"/>
            </w:pPr>
          </w:p>
        </w:tc>
      </w:tr>
      <w:tr>
        <w:tc>
          <w:tcPr/>
          <w:p>
            <w:pPr>
              <w:pStyle w:val="Compact"/>
            </w:pPr>
            <w:r>
              <w:t xml:space="preserve">Green Tech Intensity (ln, IV) [EM]</w:t>
            </w:r>
          </w:p>
        </w:tc>
        <w:tc>
          <w:tcPr/>
          <w:p>
            <w:pPr>
              <w:pStyle w:val="Compact"/>
            </w:pPr>
          </w:p>
        </w:tc>
        <w:tc>
          <w:tcPr/>
          <w:p>
            <w:pPr>
              <w:pStyle w:val="Compact"/>
            </w:pPr>
          </w:p>
        </w:tc>
        <w:tc>
          <w:tcPr/>
          <w:p>
            <w:pPr>
              <w:pStyle w:val="Compact"/>
            </w:pPr>
          </w:p>
        </w:tc>
        <w:tc>
          <w:tcPr/>
          <w:p>
            <w:pPr>
              <w:pStyle w:val="Compact"/>
            </w:pPr>
            <w:r>
              <w:t xml:space="preserve">0.2132</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(0.2033)</w:t>
            </w:r>
          </w:p>
        </w:tc>
        <w:tc>
          <w:tcPr/>
          <w:p>
            <w:pPr>
              <w:pStyle w:val="Compact"/>
            </w:pPr>
          </w:p>
        </w:tc>
        <w:tc>
          <w:tcPr/>
          <w:p>
            <w:pPr>
              <w:pStyle w:val="Compact"/>
            </w:pPr>
          </w:p>
        </w:tc>
      </w:tr>
      <w:tr>
        <w:tc>
          <w:tcPr/>
          <w:p>
            <w:pPr>
              <w:pStyle w:val="Compact"/>
            </w:pPr>
            <w:r>
              <w:t xml:space="preserve">GDP per capita (ln)</w:t>
            </w:r>
          </w:p>
        </w:tc>
        <w:tc>
          <w:tcPr/>
          <w:p>
            <w:pPr>
              <w:pStyle w:val="Compact"/>
            </w:pPr>
            <w:r>
              <w:t xml:space="preserve">-0.2587</w:t>
            </w:r>
          </w:p>
        </w:tc>
        <w:tc>
          <w:tcPr/>
          <w:p>
            <w:pPr>
              <w:pStyle w:val="Compact"/>
            </w:pPr>
            <w:r>
              <w:t xml:space="preserve">-0.5671</w:t>
            </w:r>
          </w:p>
        </w:tc>
        <w:tc>
          <w:tcPr/>
          <w:p>
            <w:pPr>
              <w:pStyle w:val="Compact"/>
            </w:pPr>
            <w:r>
              <w:t xml:space="preserve">0.5151*</w:t>
            </w:r>
          </w:p>
        </w:tc>
        <w:tc>
          <w:tcPr/>
          <w:p>
            <w:pPr>
              <w:pStyle w:val="Compact"/>
            </w:pPr>
            <w:r>
              <w:t xml:space="preserve">0.8572**</w:t>
            </w:r>
          </w:p>
        </w:tc>
        <w:tc>
          <w:tcPr/>
          <w:p>
            <w:pPr>
              <w:pStyle w:val="Compact"/>
            </w:pPr>
            <w:r>
              <w:t xml:space="preserve">-0.2376*</w:t>
            </w:r>
          </w:p>
        </w:tc>
        <w:tc>
          <w:tcPr/>
          <w:p>
            <w:pPr>
              <w:pStyle w:val="Compact"/>
            </w:pPr>
            <w:r>
              <w:t xml:space="preserve">0.0411</w:t>
            </w:r>
          </w:p>
        </w:tc>
      </w:tr>
      <w:tr>
        <w:tc>
          <w:tcPr/>
          <w:p>
            <w:pPr>
              <w:pStyle w:val="Compact"/>
            </w:pPr>
          </w:p>
        </w:tc>
        <w:tc>
          <w:tcPr/>
          <w:p>
            <w:pPr>
              <w:pStyle w:val="Compact"/>
            </w:pPr>
            <w:r>
              <w:t xml:space="preserve">(0.2751)</w:t>
            </w:r>
          </w:p>
        </w:tc>
        <w:tc>
          <w:tcPr/>
          <w:p>
            <w:pPr>
              <w:pStyle w:val="Compact"/>
            </w:pPr>
            <w:r>
              <w:t xml:space="preserve">(0.6710)</w:t>
            </w:r>
          </w:p>
        </w:tc>
        <w:tc>
          <w:tcPr/>
          <w:p>
            <w:pPr>
              <w:pStyle w:val="Compact"/>
            </w:pPr>
            <w:r>
              <w:t xml:space="preserve">(0.2664)</w:t>
            </w:r>
          </w:p>
        </w:tc>
        <w:tc>
          <w:tcPr/>
          <w:p>
            <w:pPr>
              <w:pStyle w:val="Compact"/>
            </w:pPr>
            <w:r>
              <w:t xml:space="preserve">(0.3390)</w:t>
            </w:r>
          </w:p>
        </w:tc>
        <w:tc>
          <w:tcPr/>
          <w:p>
            <w:pPr>
              <w:pStyle w:val="Compact"/>
            </w:pPr>
            <w:r>
              <w:t xml:space="preserve">(0.1353)</w:t>
            </w:r>
          </w:p>
        </w:tc>
        <w:tc>
          <w:tcPr/>
          <w:p>
            <w:pPr>
              <w:pStyle w:val="Compact"/>
            </w:pPr>
            <w:r>
              <w:t xml:space="preserve">(0.3925)</w:t>
            </w:r>
          </w:p>
        </w:tc>
      </w:tr>
      <w:tr>
        <w:tc>
          <w:tcPr/>
          <w:p>
            <w:pPr>
              <w:pStyle w:val="Compact"/>
            </w:pPr>
            <w:r>
              <w:t xml:space="preserve">Renewable energy (%)</w:t>
            </w:r>
          </w:p>
        </w:tc>
        <w:tc>
          <w:tcPr/>
          <w:p>
            <w:pPr>
              <w:pStyle w:val="Compact"/>
            </w:pPr>
            <w:r>
              <w:t xml:space="preserve">-0.0197**</w:t>
            </w:r>
          </w:p>
        </w:tc>
        <w:tc>
          <w:tcPr/>
          <w:p>
            <w:pPr>
              <w:pStyle w:val="Compact"/>
            </w:pPr>
            <w:r>
              <w:t xml:space="preserve">-0.0238</w:t>
            </w:r>
          </w:p>
        </w:tc>
        <w:tc>
          <w:tcPr/>
          <w:p>
            <w:pPr>
              <w:pStyle w:val="Compact"/>
            </w:pPr>
            <w:r>
              <w:t xml:space="preserve">-0.0015</w:t>
            </w:r>
          </w:p>
        </w:tc>
        <w:tc>
          <w:tcPr/>
          <w:p>
            <w:pPr>
              <w:pStyle w:val="Compact"/>
            </w:pPr>
            <w:r>
              <w:t xml:space="preserve">-0.0019</w:t>
            </w:r>
          </w:p>
        </w:tc>
        <w:tc>
          <w:tcPr/>
          <w:p>
            <w:pPr>
              <w:pStyle w:val="Compact"/>
            </w:pPr>
            <w:r>
              <w:t xml:space="preserve">0.0026</w:t>
            </w:r>
          </w:p>
        </w:tc>
        <w:tc>
          <w:tcPr/>
          <w:p>
            <w:pPr>
              <w:pStyle w:val="Compact"/>
            </w:pPr>
            <w:r>
              <w:t xml:space="preserve">-0.0047</w:t>
            </w:r>
          </w:p>
        </w:tc>
      </w:tr>
      <w:tr>
        <w:tc>
          <w:tcPr/>
          <w:p>
            <w:pPr>
              <w:pStyle w:val="Compact"/>
            </w:pPr>
          </w:p>
        </w:tc>
        <w:tc>
          <w:tcPr/>
          <w:p>
            <w:pPr>
              <w:pStyle w:val="Compact"/>
            </w:pPr>
            <w:r>
              <w:t xml:space="preserve">(0.0085)</w:t>
            </w:r>
          </w:p>
        </w:tc>
        <w:tc>
          <w:tcPr/>
          <w:p>
            <w:pPr>
              <w:pStyle w:val="Compact"/>
            </w:pPr>
            <w:r>
              <w:t xml:space="preserve">(0.0176)</w:t>
            </w:r>
          </w:p>
        </w:tc>
        <w:tc>
          <w:tcPr/>
          <w:p>
            <w:pPr>
              <w:pStyle w:val="Compact"/>
            </w:pPr>
            <w:r>
              <w:t xml:space="preserve">(0.0028)</w:t>
            </w:r>
          </w:p>
        </w:tc>
        <w:tc>
          <w:tcPr/>
          <w:p>
            <w:pPr>
              <w:pStyle w:val="Compact"/>
            </w:pPr>
            <w:r>
              <w:t xml:space="preserve">(0.0089)</w:t>
            </w:r>
          </w:p>
        </w:tc>
        <w:tc>
          <w:tcPr/>
          <w:p>
            <w:pPr>
              <w:pStyle w:val="Compact"/>
            </w:pPr>
            <w:r>
              <w:t xml:space="preserve">(0.0042)</w:t>
            </w:r>
          </w:p>
        </w:tc>
        <w:tc>
          <w:tcPr/>
          <w:p>
            <w:pPr>
              <w:pStyle w:val="Compact"/>
            </w:pPr>
            <w:r>
              <w:t xml:space="preserve">(0.0070)</w:t>
            </w:r>
          </w:p>
        </w:tc>
      </w:tr>
      <w:tr>
        <w:tc>
          <w:tcPr/>
          <w:p>
            <w:pPr>
              <w:pStyle w:val="Compact"/>
            </w:pPr>
            <w:r>
              <w:t xml:space="preserve">Capital formation / VA</w:t>
            </w:r>
          </w:p>
        </w:tc>
        <w:tc>
          <w:tcPr/>
          <w:p>
            <w:pPr>
              <w:pStyle w:val="Compact"/>
            </w:pPr>
            <w:r>
              <w:t xml:space="preserve">0.4034**</w:t>
            </w:r>
          </w:p>
        </w:tc>
        <w:tc>
          <w:tcPr/>
          <w:p>
            <w:pPr>
              <w:pStyle w:val="Compact"/>
            </w:pPr>
          </w:p>
        </w:tc>
        <w:tc>
          <w:tcPr/>
          <w:p>
            <w:pPr>
              <w:pStyle w:val="Compact"/>
            </w:pPr>
            <w:r>
              <w:t xml:space="preserve">-0.3906**</w:t>
            </w:r>
          </w:p>
        </w:tc>
        <w:tc>
          <w:tcPr/>
          <w:p>
            <w:pPr>
              <w:pStyle w:val="Compact"/>
            </w:pPr>
          </w:p>
        </w:tc>
        <w:tc>
          <w:tcPr/>
          <w:p>
            <w:pPr>
              <w:pStyle w:val="Compact"/>
            </w:pPr>
            <w:r>
              <w:t xml:space="preserve">0.6555***</w:t>
            </w:r>
          </w:p>
        </w:tc>
        <w:tc>
          <w:tcPr/>
          <w:p>
            <w:pPr>
              <w:pStyle w:val="Compact"/>
            </w:pPr>
          </w:p>
        </w:tc>
      </w:tr>
      <w:tr>
        <w:tc>
          <w:tcPr/>
          <w:p>
            <w:pPr>
              <w:pStyle w:val="Compact"/>
            </w:pPr>
          </w:p>
        </w:tc>
        <w:tc>
          <w:tcPr/>
          <w:p>
            <w:pPr>
              <w:pStyle w:val="Compact"/>
            </w:pPr>
            <w:r>
              <w:t xml:space="preserve">(0.1795)</w:t>
            </w:r>
          </w:p>
        </w:tc>
        <w:tc>
          <w:tcPr/>
          <w:p>
            <w:pPr>
              <w:pStyle w:val="Compact"/>
            </w:pPr>
          </w:p>
        </w:tc>
        <w:tc>
          <w:tcPr/>
          <w:p>
            <w:pPr>
              <w:pStyle w:val="Compact"/>
            </w:pPr>
            <w:r>
              <w:t xml:space="preserve">(0.1910)</w:t>
            </w:r>
          </w:p>
        </w:tc>
        <w:tc>
          <w:tcPr/>
          <w:p>
            <w:pPr>
              <w:pStyle w:val="Compact"/>
            </w:pPr>
          </w:p>
        </w:tc>
        <w:tc>
          <w:tcPr/>
          <w:p>
            <w:pPr>
              <w:pStyle w:val="Compact"/>
            </w:pPr>
            <w:r>
              <w:t xml:space="preserve">(0.1395)</w:t>
            </w:r>
          </w:p>
        </w:tc>
        <w:tc>
          <w:tcPr/>
          <w:p>
            <w:pPr>
              <w:pStyle w:val="Compact"/>
            </w:pPr>
          </w:p>
        </w:tc>
      </w:tr>
      <w:tr>
        <w:tc>
          <w:tcPr/>
          <w:p>
            <w:pPr>
              <w:pStyle w:val="Compact"/>
            </w:pPr>
            <w:r>
              <w:t xml:space="preserve">R&amp;D (% GDP)</w:t>
            </w:r>
          </w:p>
        </w:tc>
        <w:tc>
          <w:tcPr/>
          <w:p>
            <w:pPr>
              <w:pStyle w:val="Compact"/>
            </w:pPr>
            <w:r>
              <w:t xml:space="preserve">0.0182</w:t>
            </w:r>
          </w:p>
        </w:tc>
        <w:tc>
          <w:tcPr/>
          <w:p>
            <w:pPr>
              <w:pStyle w:val="Compact"/>
            </w:pPr>
            <w:r>
              <w:t xml:space="preserve">-0.1322</w:t>
            </w:r>
          </w:p>
        </w:tc>
        <w:tc>
          <w:tcPr/>
          <w:p>
            <w:pPr>
              <w:pStyle w:val="Compact"/>
            </w:pPr>
            <w:r>
              <w:t xml:space="preserve">-0.0063</w:t>
            </w:r>
          </w:p>
        </w:tc>
        <w:tc>
          <w:tcPr/>
          <w:p>
            <w:pPr>
              <w:pStyle w:val="Compact"/>
            </w:pPr>
            <w:r>
              <w:t xml:space="preserve">-0.6052*</w:t>
            </w:r>
          </w:p>
        </w:tc>
        <w:tc>
          <w:tcPr/>
          <w:p>
            <w:pPr>
              <w:pStyle w:val="Compact"/>
            </w:pPr>
            <w:r>
              <w:t xml:space="preserve">0.0397*</w:t>
            </w:r>
          </w:p>
        </w:tc>
        <w:tc>
          <w:tcPr/>
          <w:p>
            <w:pPr>
              <w:pStyle w:val="Compact"/>
            </w:pPr>
            <w:r>
              <w:t xml:space="preserve">-0.1801</w:t>
            </w:r>
          </w:p>
        </w:tc>
      </w:tr>
      <w:tr>
        <w:tc>
          <w:tcPr/>
          <w:p>
            <w:pPr>
              <w:pStyle w:val="Compact"/>
            </w:pPr>
          </w:p>
        </w:tc>
        <w:tc>
          <w:tcPr/>
          <w:p>
            <w:pPr>
              <w:pStyle w:val="Compact"/>
            </w:pPr>
            <w:r>
              <w:t xml:space="preserve">(0.0552)</w:t>
            </w:r>
          </w:p>
        </w:tc>
        <w:tc>
          <w:tcPr/>
          <w:p>
            <w:pPr>
              <w:pStyle w:val="Compact"/>
            </w:pPr>
            <w:r>
              <w:t xml:space="preserve">(0.5583)</w:t>
            </w:r>
          </w:p>
        </w:tc>
        <w:tc>
          <w:tcPr/>
          <w:p>
            <w:pPr>
              <w:pStyle w:val="Compact"/>
            </w:pPr>
            <w:r>
              <w:t xml:space="preserve">(0.0307)</w:t>
            </w:r>
          </w:p>
        </w:tc>
        <w:tc>
          <w:tcPr/>
          <w:p>
            <w:pPr>
              <w:pStyle w:val="Compact"/>
            </w:pPr>
            <w:r>
              <w:t xml:space="preserve">(0.3381)</w:t>
            </w:r>
          </w:p>
        </w:tc>
        <w:tc>
          <w:tcPr/>
          <w:p>
            <w:pPr>
              <w:pStyle w:val="Compact"/>
            </w:pPr>
            <w:r>
              <w:t xml:space="preserve">(0.0229)</w:t>
            </w:r>
          </w:p>
        </w:tc>
        <w:tc>
          <w:tcPr/>
          <w:p>
            <w:pPr>
              <w:pStyle w:val="Compact"/>
            </w:pPr>
            <w:r>
              <w:t xml:space="preserve">(0.2275)</w:t>
            </w:r>
          </w:p>
        </w:tc>
      </w:tr>
      <w:tr>
        <w:tc>
          <w:tcPr/>
          <w:p>
            <w:pPr>
              <w:pStyle w:val="Compact"/>
            </w:pPr>
            <w:r>
              <w:t xml:space="preserve">Trade openness (% GDP)</w:t>
            </w:r>
          </w:p>
        </w:tc>
        <w:tc>
          <w:tcPr/>
          <w:p>
            <w:pPr>
              <w:pStyle w:val="Compact"/>
            </w:pPr>
            <w:r>
              <w:t xml:space="preserve">-0.0010</w:t>
            </w:r>
          </w:p>
        </w:tc>
        <w:tc>
          <w:tcPr/>
          <w:p>
            <w:pPr>
              <w:pStyle w:val="Compact"/>
            </w:pPr>
            <w:r>
              <w:t xml:space="preserve">-0.0006</w:t>
            </w:r>
          </w:p>
        </w:tc>
        <w:tc>
          <w:tcPr/>
          <w:p>
            <w:pPr>
              <w:pStyle w:val="Compact"/>
            </w:pPr>
          </w:p>
        </w:tc>
        <w:tc>
          <w:tcPr/>
          <w:p>
            <w:pPr>
              <w:pStyle w:val="Compact"/>
            </w:pPr>
          </w:p>
        </w:tc>
        <w:tc>
          <w:tcPr/>
          <w:p>
            <w:pPr>
              <w:pStyle w:val="Compact"/>
            </w:pPr>
            <w:r>
              <w:t xml:space="preserve">-0.0011</w:t>
            </w:r>
          </w:p>
        </w:tc>
        <w:tc>
          <w:tcPr/>
          <w:p>
            <w:pPr>
              <w:pStyle w:val="Compact"/>
            </w:pPr>
            <w:r>
              <w:t xml:space="preserve">-0.0060**</w:t>
            </w:r>
          </w:p>
        </w:tc>
      </w:tr>
      <w:tr>
        <w:tc>
          <w:tcPr/>
          <w:p>
            <w:pPr>
              <w:pStyle w:val="Compact"/>
            </w:pPr>
          </w:p>
        </w:tc>
        <w:tc>
          <w:tcPr/>
          <w:p>
            <w:pPr>
              <w:pStyle w:val="Compact"/>
            </w:pPr>
            <w:r>
              <w:t xml:space="preserve">(0.0015)</w:t>
            </w:r>
          </w:p>
        </w:tc>
        <w:tc>
          <w:tcPr/>
          <w:p>
            <w:pPr>
              <w:pStyle w:val="Compact"/>
            </w:pPr>
            <w:r>
              <w:t xml:space="preserve">(0.0055)</w:t>
            </w:r>
          </w:p>
        </w:tc>
        <w:tc>
          <w:tcPr/>
          <w:p>
            <w:pPr>
              <w:pStyle w:val="Compact"/>
            </w:pPr>
          </w:p>
        </w:tc>
        <w:tc>
          <w:tcPr/>
          <w:p>
            <w:pPr>
              <w:pStyle w:val="Compact"/>
            </w:pPr>
          </w:p>
        </w:tc>
        <w:tc>
          <w:tcPr/>
          <w:p>
            <w:pPr>
              <w:pStyle w:val="Compact"/>
            </w:pPr>
            <w:r>
              <w:t xml:space="preserve">(0.0009)</w:t>
            </w:r>
          </w:p>
        </w:tc>
        <w:tc>
          <w:tcPr/>
          <w:p>
            <w:pPr>
              <w:pStyle w:val="Compact"/>
            </w:pPr>
            <w:r>
              <w:t xml:space="preserve">(0.0024)</w:t>
            </w:r>
          </w:p>
        </w:tc>
      </w:tr>
      <w:tr>
        <w:tc>
          <w:tcPr/>
          <w:p>
            <w:pPr>
              <w:pStyle w:val="Compact"/>
            </w:pPr>
            <w:r>
              <w:t xml:space="preserve">Broadband (per 100)</w:t>
            </w:r>
          </w:p>
        </w:tc>
        <w:tc>
          <w:tcPr/>
          <w:p>
            <w:pPr>
              <w:pStyle w:val="Compact"/>
            </w:pPr>
            <w:r>
              <w:t xml:space="preserve">0.0060</w:t>
            </w:r>
          </w:p>
        </w:tc>
        <w:tc>
          <w:tcPr/>
          <w:p>
            <w:pPr>
              <w:pStyle w:val="Compact"/>
            </w:pPr>
          </w:p>
        </w:tc>
        <w:tc>
          <w:tcPr/>
          <w:p>
            <w:pPr>
              <w:pStyle w:val="Compact"/>
            </w:pPr>
            <w:r>
              <w:t xml:space="preserve">-0.0077**</w:t>
            </w:r>
          </w:p>
        </w:tc>
        <w:tc>
          <w:tcPr/>
          <w:p>
            <w:pPr>
              <w:pStyle w:val="Compact"/>
            </w:pPr>
            <w:r>
              <w:t xml:space="preserve">0.0185**</w:t>
            </w:r>
          </w:p>
        </w:tc>
        <w:tc>
          <w:tcPr/>
          <w:p>
            <w:pPr>
              <w:pStyle w:val="Compact"/>
            </w:pPr>
            <w:r>
              <w:t xml:space="preserve">0.0025</w:t>
            </w:r>
          </w:p>
        </w:tc>
        <w:tc>
          <w:tcPr/>
          <w:p>
            <w:pPr>
              <w:pStyle w:val="Compact"/>
            </w:pPr>
          </w:p>
        </w:tc>
      </w:tr>
      <w:tr>
        <w:tc>
          <w:tcPr/>
          <w:p>
            <w:pPr>
              <w:pStyle w:val="Compact"/>
            </w:pPr>
          </w:p>
        </w:tc>
        <w:tc>
          <w:tcPr/>
          <w:p>
            <w:pPr>
              <w:pStyle w:val="Compact"/>
            </w:pPr>
            <w:r>
              <w:t xml:space="preserve">(0.0063)</w:t>
            </w:r>
          </w:p>
        </w:tc>
        <w:tc>
          <w:tcPr/>
          <w:p>
            <w:pPr>
              <w:pStyle w:val="Compact"/>
            </w:pPr>
          </w:p>
        </w:tc>
        <w:tc>
          <w:tcPr/>
          <w:p>
            <w:pPr>
              <w:pStyle w:val="Compact"/>
            </w:pPr>
            <w:r>
              <w:t xml:space="preserve">(0.0032)</w:t>
            </w:r>
          </w:p>
        </w:tc>
        <w:tc>
          <w:tcPr/>
          <w:p>
            <w:pPr>
              <w:pStyle w:val="Compact"/>
            </w:pPr>
            <w:r>
              <w:t xml:space="preserve">(0.0088)</w:t>
            </w:r>
          </w:p>
        </w:tc>
        <w:tc>
          <w:tcPr/>
          <w:p>
            <w:pPr>
              <w:pStyle w:val="Compact"/>
            </w:pPr>
            <w:r>
              <w:t xml:space="preserve">(0.0032)</w:t>
            </w:r>
          </w:p>
        </w:tc>
        <w:tc>
          <w:tcPr/>
          <w:p>
            <w:pPr>
              <w:pStyle w:val="Compact"/>
            </w:pPr>
          </w:p>
        </w:tc>
      </w:tr>
      <w:tr>
        <w:tc>
          <w:tcPr/>
          <w:p>
            <w:pPr>
              <w:pStyle w:val="Compact"/>
            </w:pPr>
            <w:r>
              <w:t xml:space="preserve">Tertiary enrollment (%)</w:t>
            </w:r>
          </w:p>
        </w:tc>
        <w:tc>
          <w:tcPr/>
          <w:p>
            <w:pPr>
              <w:pStyle w:val="Compact"/>
            </w:pPr>
          </w:p>
        </w:tc>
        <w:tc>
          <w:tcPr/>
          <w:p>
            <w:pPr>
              <w:pStyle w:val="Compact"/>
            </w:pPr>
          </w:p>
        </w:tc>
        <w:tc>
          <w:tcPr/>
          <w:p>
            <w:pPr>
              <w:pStyle w:val="Compact"/>
            </w:pPr>
            <w:r>
              <w:t xml:space="preserve">0.0002</w:t>
            </w:r>
          </w:p>
        </w:tc>
        <w:tc>
          <w:tcPr/>
          <w:p>
            <w:pPr>
              <w:pStyle w:val="Compact"/>
            </w:pPr>
            <w:r>
              <w:t xml:space="preserve">0.0014</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(0.0011)</w:t>
            </w:r>
          </w:p>
        </w:tc>
        <w:tc>
          <w:tcPr/>
          <w:p>
            <w:pPr>
              <w:pStyle w:val="Compact"/>
            </w:pPr>
            <w:r>
              <w:t xml:space="preserve">(0.0027)</w:t>
            </w:r>
          </w:p>
        </w:tc>
        <w:tc>
          <w:tcPr/>
          <w:p>
            <w:pPr>
              <w:pStyle w:val="Compact"/>
            </w:pPr>
          </w:p>
        </w:tc>
        <w:tc>
          <w:tcPr/>
          <w:p>
            <w:pPr>
              <w:pStyle w:val="Compact"/>
            </w:pPr>
          </w:p>
        </w:tc>
      </w:tr>
      <w:tr>
        <w:tc>
          <w:tcPr/>
          <w:p>
            <w:pPr>
              <w:pStyle w:val="Compact"/>
            </w:pPr>
            <w:r>
              <w:t xml:space="preserve">Governance (WGI)</w:t>
            </w:r>
          </w:p>
        </w:tc>
        <w:tc>
          <w:tcPr/>
          <w:p>
            <w:pPr>
              <w:pStyle w:val="Compact"/>
            </w:pPr>
          </w:p>
        </w:tc>
        <w:tc>
          <w:tcPr/>
          <w:p>
            <w:pPr>
              <w:pStyle w:val="Compact"/>
            </w:pPr>
            <w:r>
              <w:t xml:space="preserve">0.0771</w:t>
            </w:r>
          </w:p>
        </w:tc>
        <w:tc>
          <w:tcPr/>
          <w:p>
            <w:pPr>
              <w:pStyle w:val="Compact"/>
            </w:pPr>
          </w:p>
        </w:tc>
        <w:tc>
          <w:tcPr/>
          <w:p>
            <w:pPr>
              <w:pStyle w:val="Compact"/>
            </w:pPr>
            <w:r>
              <w:t xml:space="preserve">0.0472</w:t>
            </w:r>
          </w:p>
        </w:tc>
        <w:tc>
          <w:tcPr/>
          <w:p>
            <w:pPr>
              <w:pStyle w:val="Compact"/>
            </w:pPr>
          </w:p>
        </w:tc>
        <w:tc>
          <w:tcPr/>
          <w:p>
            <w:pPr>
              <w:pStyle w:val="Compact"/>
            </w:pPr>
            <w:r>
              <w:t xml:space="preserve">0.2258</w:t>
            </w:r>
          </w:p>
        </w:tc>
      </w:tr>
      <w:tr>
        <w:tc>
          <w:tcPr/>
          <w:p>
            <w:pPr>
              <w:pStyle w:val="Compact"/>
            </w:pPr>
          </w:p>
        </w:tc>
        <w:tc>
          <w:tcPr/>
          <w:p>
            <w:pPr>
              <w:pStyle w:val="Compact"/>
            </w:pPr>
          </w:p>
        </w:tc>
        <w:tc>
          <w:tcPr/>
          <w:p>
            <w:pPr>
              <w:pStyle w:val="Compact"/>
            </w:pPr>
            <w:r>
              <w:t xml:space="preserve">(0.4325)</w:t>
            </w:r>
          </w:p>
        </w:tc>
        <w:tc>
          <w:tcPr/>
          <w:p>
            <w:pPr>
              <w:pStyle w:val="Compact"/>
            </w:pPr>
          </w:p>
        </w:tc>
        <w:tc>
          <w:tcPr/>
          <w:p>
            <w:pPr>
              <w:pStyle w:val="Compact"/>
            </w:pPr>
            <w:r>
              <w:t xml:space="preserve">(0.1838)</w:t>
            </w:r>
          </w:p>
        </w:tc>
        <w:tc>
          <w:tcPr/>
          <w:p>
            <w:pPr>
              <w:pStyle w:val="Compact"/>
            </w:pPr>
          </w:p>
        </w:tc>
        <w:tc>
          <w:tcPr/>
          <w:p>
            <w:pPr>
              <w:pStyle w:val="Compact"/>
            </w:pPr>
            <w:r>
              <w:t xml:space="preserve">(0.2446)</w:t>
            </w:r>
          </w:p>
        </w:tc>
      </w:tr>
      <w:tr>
        <w:tc>
          <w:tcPr/>
          <w:p>
            <w:pPr>
              <w:pStyle w:val="Compact"/>
            </w:pPr>
            <w:r>
              <w:t xml:space="preserve">Num.Obs.</w:t>
            </w:r>
          </w:p>
        </w:tc>
        <w:tc>
          <w:tcPr/>
          <w:p>
            <w:pPr>
              <w:pStyle w:val="Compact"/>
            </w:pPr>
            <w:r>
              <w:t xml:space="preserve">936</w:t>
            </w:r>
          </w:p>
        </w:tc>
        <w:tc>
          <w:tcPr/>
          <w:p>
            <w:pPr>
              <w:pStyle w:val="Compact"/>
            </w:pPr>
            <w:r>
              <w:t xml:space="preserve">591</w:t>
            </w:r>
          </w:p>
        </w:tc>
        <w:tc>
          <w:tcPr/>
          <w:p>
            <w:pPr>
              <w:pStyle w:val="Compact"/>
            </w:pPr>
            <w:r>
              <w:t xml:space="preserve">1847</w:t>
            </w:r>
          </w:p>
        </w:tc>
        <w:tc>
          <w:tcPr/>
          <w:p>
            <w:pPr>
              <w:pStyle w:val="Compact"/>
            </w:pPr>
            <w:r>
              <w:t xml:space="preserve">536</w:t>
            </w:r>
          </w:p>
        </w:tc>
        <w:tc>
          <w:tcPr/>
          <w:p>
            <w:pPr>
              <w:pStyle w:val="Compact"/>
            </w:pPr>
            <w:r>
              <w:t xml:space="preserve">3120</w:t>
            </w:r>
          </w:p>
        </w:tc>
        <w:tc>
          <w:tcPr/>
          <w:p>
            <w:pPr>
              <w:pStyle w:val="Compact"/>
            </w:pPr>
            <w:r>
              <w:t xml:space="preserve">530</w:t>
            </w:r>
          </w:p>
        </w:tc>
      </w:tr>
      <w:tr>
        <w:tc>
          <w:tcPr/>
          <w:p>
            <w:pPr>
              <w:pStyle w:val="Compact"/>
            </w:pPr>
            <w:r>
              <w:t xml:space="preserve">R2</w:t>
            </w:r>
          </w:p>
        </w:tc>
        <w:tc>
          <w:tcPr/>
          <w:p>
            <w:pPr>
              <w:pStyle w:val="Compact"/>
            </w:pPr>
            <w:r>
              <w:t xml:space="preserve">0.997</w:t>
            </w:r>
          </w:p>
        </w:tc>
        <w:tc>
          <w:tcPr/>
          <w:p>
            <w:pPr>
              <w:pStyle w:val="Compact"/>
            </w:pPr>
            <w:r>
              <w:t xml:space="preserve">0.937</w:t>
            </w:r>
          </w:p>
        </w:tc>
        <w:tc>
          <w:tcPr/>
          <w:p>
            <w:pPr>
              <w:pStyle w:val="Compact"/>
            </w:pPr>
            <w:r>
              <w:t xml:space="preserve">0.998</w:t>
            </w:r>
          </w:p>
        </w:tc>
        <w:tc>
          <w:tcPr/>
          <w:p>
            <w:pPr>
              <w:pStyle w:val="Compact"/>
            </w:pPr>
            <w:r>
              <w:t xml:space="preserve">0.935</w:t>
            </w:r>
          </w:p>
        </w:tc>
        <w:tc>
          <w:tcPr/>
          <w:p>
            <w:pPr>
              <w:pStyle w:val="Compact"/>
            </w:pPr>
            <w:r>
              <w:t xml:space="preserve">0.935</w:t>
            </w:r>
          </w:p>
        </w:tc>
        <w:tc>
          <w:tcPr/>
          <w:p>
            <w:pPr>
              <w:pStyle w:val="Compact"/>
            </w:pPr>
            <w:r>
              <w:t xml:space="preserve">0.849</w:t>
            </w:r>
          </w:p>
        </w:tc>
      </w:tr>
      <w:tr>
        <w:tc>
          <w:tcPr/>
          <w:p>
            <w:pPr>
              <w:pStyle w:val="Compact"/>
            </w:pPr>
            <w:r>
              <w:t xml:space="preserve">R2 Adj.</w:t>
            </w:r>
          </w:p>
        </w:tc>
        <w:tc>
          <w:tcPr/>
          <w:p>
            <w:pPr>
              <w:pStyle w:val="Compact"/>
            </w:pPr>
            <w:r>
              <w:t xml:space="preserve">0.997</w:t>
            </w:r>
          </w:p>
        </w:tc>
        <w:tc>
          <w:tcPr/>
          <w:p>
            <w:pPr>
              <w:pStyle w:val="Compact"/>
            </w:pPr>
            <w:r>
              <w:t xml:space="preserve">0.927</w:t>
            </w:r>
          </w:p>
        </w:tc>
        <w:tc>
          <w:tcPr/>
          <w:p>
            <w:pPr>
              <w:pStyle w:val="Compact"/>
            </w:pPr>
            <w:r>
              <w:t xml:space="preserve">0.998</w:t>
            </w:r>
          </w:p>
        </w:tc>
        <w:tc>
          <w:tcPr/>
          <w:p>
            <w:pPr>
              <w:pStyle w:val="Compact"/>
            </w:pPr>
            <w:r>
              <w:t xml:space="preserve">0.924</w:t>
            </w:r>
          </w:p>
        </w:tc>
        <w:tc>
          <w:tcPr/>
          <w:p>
            <w:pPr>
              <w:pStyle w:val="Compact"/>
            </w:pPr>
            <w:r>
              <w:t xml:space="preserve">0.929</w:t>
            </w:r>
          </w:p>
        </w:tc>
        <w:tc>
          <w:tcPr/>
          <w:p>
            <w:pPr>
              <w:pStyle w:val="Compact"/>
            </w:pPr>
            <w:r>
              <w:t xml:space="preserve">0.824</w:t>
            </w:r>
          </w:p>
        </w:tc>
      </w:tr>
      <w:tr>
        <w:tc>
          <w:tcPr/>
          <w:p>
            <w:pPr>
              <w:pStyle w:val="Compact"/>
            </w:pPr>
            <w:r>
              <w:t xml:space="preserve">R2 Within</w:t>
            </w:r>
          </w:p>
        </w:tc>
        <w:tc>
          <w:tcPr/>
          <w:p>
            <w:pPr>
              <w:pStyle w:val="Compact"/>
            </w:pPr>
            <w:r>
              <w:t xml:space="preserve">0.168</w:t>
            </w:r>
          </w:p>
        </w:tc>
        <w:tc>
          <w:tcPr/>
          <w:p>
            <w:pPr>
              <w:pStyle w:val="Compact"/>
            </w:pPr>
            <w:r>
              <w:t xml:space="preserve">0.041</w:t>
            </w:r>
          </w:p>
        </w:tc>
        <w:tc>
          <w:tcPr/>
          <w:p>
            <w:pPr>
              <w:pStyle w:val="Compact"/>
            </w:pPr>
            <w:r>
              <w:t xml:space="preserve">0.143</w:t>
            </w:r>
          </w:p>
        </w:tc>
        <w:tc>
          <w:tcPr/>
          <w:p>
            <w:pPr>
              <w:pStyle w:val="Compact"/>
            </w:pPr>
            <w:r>
              <w:t xml:space="preserve">0.122</w:t>
            </w:r>
          </w:p>
        </w:tc>
        <w:tc>
          <w:tcPr/>
          <w:p>
            <w:pPr>
              <w:pStyle w:val="Compact"/>
            </w:pPr>
            <w:r>
              <w:t xml:space="preserve">0.152</w:t>
            </w:r>
          </w:p>
        </w:tc>
        <w:tc>
          <w:tcPr/>
          <w:p>
            <w:pPr>
              <w:pStyle w:val="Compact"/>
            </w:pPr>
            <w:r>
              <w:t xml:space="preserve">0.113</w:t>
            </w:r>
          </w:p>
        </w:tc>
      </w:tr>
      <w:tr>
        <w:tc>
          <w:tcPr/>
          <w:p>
            <w:pPr>
              <w:pStyle w:val="Compact"/>
            </w:pPr>
            <w:r>
              <w:t xml:space="preserve">R2 Within Adj.</w:t>
            </w:r>
          </w:p>
        </w:tc>
        <w:tc>
          <w:tcPr/>
          <w:p>
            <w:pPr>
              <w:pStyle w:val="Compact"/>
            </w:pPr>
            <w:r>
              <w:t xml:space="preserve">0.161</w:t>
            </w:r>
          </w:p>
        </w:tc>
        <w:tc>
          <w:tcPr/>
          <w:p>
            <w:pPr>
              <w:pStyle w:val="Compact"/>
            </w:pPr>
            <w:r>
              <w:t xml:space="preserve">0.030</w:t>
            </w:r>
          </w:p>
        </w:tc>
        <w:tc>
          <w:tcPr/>
          <w:p>
            <w:pPr>
              <w:pStyle w:val="Compact"/>
            </w:pPr>
            <w:r>
              <w:t xml:space="preserve">0.139</w:t>
            </w:r>
          </w:p>
        </w:tc>
        <w:tc>
          <w:tcPr/>
          <w:p>
            <w:pPr>
              <w:pStyle w:val="Compact"/>
            </w:pPr>
            <w:r>
              <w:t xml:space="preserve">0.109</w:t>
            </w:r>
          </w:p>
        </w:tc>
        <w:tc>
          <w:tcPr/>
          <w:p>
            <w:pPr>
              <w:pStyle w:val="Compact"/>
            </w:pPr>
            <w:r>
              <w:t xml:space="preserve">0.150</w:t>
            </w:r>
          </w:p>
        </w:tc>
        <w:tc>
          <w:tcPr/>
          <w:p>
            <w:pPr>
              <w:pStyle w:val="Compact"/>
            </w:pPr>
            <w:r>
              <w:t xml:space="preserve">0.101</w:t>
            </w:r>
          </w:p>
        </w:tc>
      </w:tr>
      <w:tr>
        <w:tc>
          <w:tcPr/>
          <w:p>
            <w:pPr>
              <w:pStyle w:val="Compact"/>
            </w:pPr>
            <w:r>
              <w:t xml:space="preserve">FE: year</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FE: pair_id_em</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r>
      <w:tr>
        <w:tc>
          <w:tcPr/>
          <w:p>
            <w:pPr>
              <w:pStyle w:val="Compact"/>
            </w:pPr>
            <w:r>
              <w:t xml:space="preserve">FE: pair_id</w:t>
            </w: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r>
      <w:tr>
        <w:tc>
          <w:tcPr>
            <w:gridSpan w:val="7"/>
          </w:tcPr>
          <w:p>
            <w:pPr>
              <w:pStyle w:val="Compact"/>
              <w:numPr>
                <w:ilvl w:val="0"/>
                <w:numId w:val="1007"/>
              </w:numPr>
            </w:pPr>
            <w:r>
              <w:t xml:space="preserve">p &lt; 0.1, ** p &lt; 0.05, *** p &lt; 0.01</w:t>
            </w:r>
          </w:p>
        </w:tc>
      </w:tr>
      <w:tr>
        <w:tc>
          <w:tcPr>
            <w:gridSpan w:val="7"/>
          </w:tcPr>
          <w:p>
            <w:pPr>
              <w:pStyle w:val="Compact"/>
            </w:pPr>
            <w:r>
              <w:t xml:space="preserve">Each column re-estimates the MAIN FE-IV specification of the corresponding part.</w:t>
            </w:r>
          </w:p>
        </w:tc>
      </w:tr>
      <w:tr>
        <w:tc>
          <w:tcPr>
            <w:gridSpan w:val="7"/>
          </w:tcPr>
          <w:p>
            <w:pPr>
              <w:pStyle w:val="Compact"/>
            </w:pPr>
            <w:r>
              <w:t xml:space="preserve">Part A: AIPI -&gt; ln CO2 emission intensity. Part B: ln GTI -&gt; ln labor productivity.</w:t>
            </w:r>
          </w:p>
        </w:tc>
      </w:tr>
      <w:tr>
        <w:tc>
          <w:tcPr>
            <w:gridSpan w:val="7"/>
          </w:tcPr>
          <w:p>
            <w:pPr>
              <w:pStyle w:val="Compact"/>
            </w:pPr>
            <w:r>
              <w:t xml:space="preserve">Part C: AIPI -&gt; ln labor income share. Samples and IVs differ by design across parts.</w:t>
            </w:r>
          </w:p>
        </w:tc>
      </w:tr>
      <w:tr>
        <w:tc>
          <w:tcPr>
            <w:gridSpan w:val="7"/>
          </w:tcPr>
          <w:p>
            <w:pPr>
              <w:pStyle w:val="Compact"/>
            </w:pPr>
            <w:r>
              <w:t xml:space="preserve">SE clustered at pair level. Alpha = 0.10. * p&lt;0.10, ** p&lt;0.05, *** p&lt;0.01.</w:t>
            </w:r>
          </w:p>
        </w:tc>
      </w:tr>
    </w:tbl>
    <w:tbl>
      <w:tblPr>
        <w:tblStyle w:val="Table"/>
        <w:tblW w:type="pct" w:w="4851"/>
        <w:tblLayout w:type="fixed"/>
        <w:tblLook w:firstRow="1" w:lastRow="1" w:firstColumn="0" w:lastColumn="0" w:noHBand="0" w:noVBand="0" w:val="0020"/>
        <w:tblCaption w:val="Book Table 3. Main Results: AI Patent Intensity and the Labor Income Share (OECD Panel)"/>
      </w:tblPr>
      <w:tblGrid>
        <w:gridCol w:w="3191"/>
        <w:gridCol w:w="1004"/>
        <w:gridCol w:w="709"/>
        <w:gridCol w:w="1122"/>
        <w:gridCol w:w="709"/>
        <w:gridCol w:w="945"/>
      </w:tblGrid>
      <w:tr>
        <w:trPr>
          <w:tblHeader w:val="on"/>
        </w:trPr>
        <w:tc>
          <w:tcPr/>
          <w:p>
            <w:pPr>
              <w:pStyle w:val="Compact"/>
            </w:pPr>
          </w:p>
        </w:tc>
        <w:tc>
          <w:tcPr/>
          <w:p>
            <w:pPr>
              <w:pStyle w:val="Compact"/>
              <w:numPr>
                <w:ilvl w:val="0"/>
                <w:numId w:val="1001"/>
              </w:numPr>
            </w:pPr>
            <w:r>
              <w:t xml:space="preserve">Pooled OLS</w:t>
            </w:r>
          </w:p>
        </w:tc>
        <w:tc>
          <w:tcPr/>
          <w:p>
            <w:pPr>
              <w:pStyle w:val="Compact"/>
              <w:numPr>
                <w:ilvl w:val="0"/>
                <w:numId w:val="1002"/>
              </w:numPr>
            </w:pPr>
            <w:r>
              <w:t xml:space="preserve">FE</w:t>
            </w:r>
          </w:p>
        </w:tc>
        <w:tc>
          <w:tcPr/>
          <w:p>
            <w:pPr>
              <w:pStyle w:val="Compact"/>
              <w:numPr>
                <w:ilvl w:val="0"/>
                <w:numId w:val="1003"/>
              </w:numPr>
            </w:pPr>
            <w:r>
              <w:t xml:space="preserve">FE+Interact.</w:t>
            </w:r>
          </w:p>
        </w:tc>
        <w:tc>
          <w:tcPr/>
          <w:p>
            <w:pPr>
              <w:pStyle w:val="Compact"/>
              <w:numPr>
                <w:ilvl w:val="0"/>
                <w:numId w:val="1004"/>
              </w:numPr>
            </w:pPr>
            <w:r>
              <w:t xml:space="preserve">FE-IV</w:t>
            </w:r>
          </w:p>
        </w:tc>
        <w:tc>
          <w:tcPr/>
          <w:p>
            <w:pPr>
              <w:pStyle w:val="Compact"/>
              <w:numPr>
                <w:ilvl w:val="0"/>
                <w:numId w:val="1005"/>
              </w:numPr>
            </w:pPr>
            <w:r>
              <w:t xml:space="preserve">Diff. GMM</w:t>
            </w:r>
          </w:p>
        </w:tc>
      </w:tr>
      <w:tr>
        <w:tc>
          <w:tcPr/>
          <w:p>
            <w:pPr>
              <w:pStyle w:val="Compact"/>
            </w:pPr>
            <w:r>
              <w:t xml:space="preserve">AI Patent Intensity (ln)</w:t>
            </w:r>
          </w:p>
        </w:tc>
        <w:tc>
          <w:tcPr/>
          <w:p>
            <w:pPr>
              <w:pStyle w:val="Compact"/>
            </w:pPr>
            <w:r>
              <w:t xml:space="preserve">0.0635***</w:t>
            </w:r>
          </w:p>
        </w:tc>
        <w:tc>
          <w:tcPr/>
          <w:p>
            <w:pPr>
              <w:pStyle w:val="Compact"/>
            </w:pPr>
            <w:r>
              <w:t xml:space="preserve">-0.0163</w:t>
            </w:r>
          </w:p>
        </w:tc>
        <w:tc>
          <w:tcPr/>
          <w:p>
            <w:pPr>
              <w:pStyle w:val="Compact"/>
            </w:pPr>
            <w:r>
              <w:t xml:space="preserve">-0.0110</w:t>
            </w:r>
          </w:p>
        </w:tc>
        <w:tc>
          <w:tcPr/>
          <w:p>
            <w:pPr>
              <w:pStyle w:val="Compact"/>
            </w:pPr>
          </w:p>
        </w:tc>
        <w:tc>
          <w:tcPr/>
          <w:p>
            <w:pPr>
              <w:pStyle w:val="Compact"/>
            </w:pPr>
            <w:r>
              <w:t xml:space="preserve">-0.0020</w:t>
            </w:r>
          </w:p>
        </w:tc>
      </w:tr>
      <w:tr>
        <w:tc>
          <w:tcPr/>
          <w:p>
            <w:pPr>
              <w:pStyle w:val="Compact"/>
            </w:pPr>
          </w:p>
        </w:tc>
        <w:tc>
          <w:tcPr/>
          <w:p>
            <w:pPr>
              <w:pStyle w:val="Compact"/>
            </w:pPr>
            <w:r>
              <w:t xml:space="preserve">(0.0186)</w:t>
            </w:r>
          </w:p>
        </w:tc>
        <w:tc>
          <w:tcPr/>
          <w:p>
            <w:pPr>
              <w:pStyle w:val="Compact"/>
            </w:pPr>
            <w:r>
              <w:t xml:space="preserve">(0.0160)</w:t>
            </w:r>
          </w:p>
        </w:tc>
        <w:tc>
          <w:tcPr/>
          <w:p>
            <w:pPr>
              <w:pStyle w:val="Compact"/>
            </w:pPr>
            <w:r>
              <w:t xml:space="preserve">(0.0153)</w:t>
            </w:r>
          </w:p>
        </w:tc>
        <w:tc>
          <w:tcPr/>
          <w:p>
            <w:pPr>
              <w:pStyle w:val="Compact"/>
            </w:pPr>
          </w:p>
        </w:tc>
        <w:tc>
          <w:tcPr/>
          <w:p>
            <w:pPr>
              <w:pStyle w:val="Compact"/>
            </w:pPr>
            <w:r>
              <w:t xml:space="preserve">(0.0192)</w:t>
            </w:r>
          </w:p>
        </w:tc>
      </w:tr>
      <w:tr>
        <w:tc>
          <w:tcPr/>
          <w:p>
            <w:pPr>
              <w:pStyle w:val="Compact"/>
            </w:pPr>
            <w:r>
              <w:t xml:space="preserve">AI Patent Intensity (ln, IV)</w:t>
            </w:r>
          </w:p>
        </w:tc>
        <w:tc>
          <w:tcPr/>
          <w:p>
            <w:pPr>
              <w:pStyle w:val="Compact"/>
            </w:pPr>
          </w:p>
        </w:tc>
        <w:tc>
          <w:tcPr/>
          <w:p>
            <w:pPr>
              <w:pStyle w:val="Compact"/>
            </w:pPr>
          </w:p>
        </w:tc>
        <w:tc>
          <w:tcPr/>
          <w:p>
            <w:pPr>
              <w:pStyle w:val="Compact"/>
            </w:pPr>
          </w:p>
        </w:tc>
        <w:tc>
          <w:tcPr/>
          <w:p>
            <w:pPr>
              <w:pStyle w:val="Compact"/>
            </w:pPr>
            <w:r>
              <w:t xml:space="preserve">0.0114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(0.0255)</w:t>
            </w:r>
          </w:p>
        </w:tc>
        <w:tc>
          <w:tcPr/>
          <w:p>
            <w:pPr>
              <w:pStyle w:val="Compact"/>
            </w:pPr>
          </w:p>
        </w:tc>
      </w:tr>
      <w:tr>
        <w:tc>
          <w:tcPr/>
          <w:p>
            <w:pPr>
              <w:pStyle w:val="Compact"/>
            </w:pPr>
            <w:r>
              <w:t xml:space="preserve">AI Patent Intensity x High-capital dummy</w:t>
            </w:r>
          </w:p>
        </w:tc>
        <w:tc>
          <w:tcPr/>
          <w:p>
            <w:pPr>
              <w:pStyle w:val="Compact"/>
            </w:pPr>
          </w:p>
        </w:tc>
        <w:tc>
          <w:tcPr/>
          <w:p>
            <w:pPr>
              <w:pStyle w:val="Compact"/>
            </w:pPr>
          </w:p>
        </w:tc>
        <w:tc>
          <w:tcPr/>
          <w:p>
            <w:pPr>
              <w:pStyle w:val="Compact"/>
            </w:pPr>
            <w:r>
              <w:t xml:space="preserve">-0.0058</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(0.0052)</w:t>
            </w:r>
          </w:p>
        </w:tc>
        <w:tc>
          <w:tcPr/>
          <w:p>
            <w:pPr>
              <w:pStyle w:val="Compact"/>
            </w:pPr>
          </w:p>
        </w:tc>
        <w:tc>
          <w:tcPr/>
          <w:p>
            <w:pPr>
              <w:pStyle w:val="Compact"/>
            </w:pPr>
          </w:p>
        </w:tc>
      </w:tr>
      <w:tr>
        <w:tc>
          <w:tcPr/>
          <w:p>
            <w:pPr>
              <w:pStyle w:val="Compact"/>
            </w:pPr>
            <w:r>
              <w:t xml:space="preserve">Lagged labor share (t-1)</w:t>
            </w:r>
          </w:p>
        </w:tc>
        <w:tc>
          <w:tcPr/>
          <w:p>
            <w:pPr>
              <w:pStyle w:val="Compact"/>
            </w:pPr>
          </w:p>
        </w:tc>
        <w:tc>
          <w:tcPr/>
          <w:p>
            <w:pPr>
              <w:pStyle w:val="Compact"/>
            </w:pPr>
          </w:p>
        </w:tc>
        <w:tc>
          <w:tcPr/>
          <w:p>
            <w:pPr>
              <w:pStyle w:val="Compact"/>
            </w:pPr>
          </w:p>
        </w:tc>
        <w:tc>
          <w:tcPr/>
          <w:p>
            <w:pPr>
              <w:pStyle w:val="Compact"/>
            </w:pPr>
          </w:p>
        </w:tc>
        <w:tc>
          <w:tcPr/>
          <w:p>
            <w:pPr>
              <w:pStyle w:val="Compact"/>
            </w:pPr>
            <w:r>
              <w:t xml:space="preserve">0.6509***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(0.1032)</w:t>
            </w:r>
          </w:p>
        </w:tc>
      </w:tr>
      <w:tr>
        <w:tc>
          <w:tcPr/>
          <w:p>
            <w:pPr>
              <w:pStyle w:val="Compact"/>
            </w:pPr>
            <w:r>
              <w:t xml:space="preserve">GDP per capita (ln, constant 2015 USD)</w:t>
            </w:r>
          </w:p>
        </w:tc>
        <w:tc>
          <w:tcPr/>
          <w:p>
            <w:pPr>
              <w:pStyle w:val="Compact"/>
            </w:pPr>
            <w:r>
              <w:t xml:space="preserve">-0.0554</w:t>
            </w:r>
          </w:p>
        </w:tc>
        <w:tc>
          <w:tcPr/>
          <w:p>
            <w:pPr>
              <w:pStyle w:val="Compact"/>
            </w:pPr>
            <w:r>
              <w:t xml:space="preserve">-0.2455*</w:t>
            </w:r>
          </w:p>
        </w:tc>
        <w:tc>
          <w:tcPr/>
          <w:p>
            <w:pPr>
              <w:pStyle w:val="Compact"/>
            </w:pPr>
            <w:r>
              <w:t xml:space="preserve">-0.2471*</w:t>
            </w:r>
          </w:p>
        </w:tc>
        <w:tc>
          <w:tcPr/>
          <w:p>
            <w:pPr>
              <w:pStyle w:val="Compact"/>
            </w:pPr>
            <w:r>
              <w:t xml:space="preserve">-0.2376*</w:t>
            </w:r>
          </w:p>
        </w:tc>
        <w:tc>
          <w:tcPr/>
          <w:p>
            <w:pPr>
              <w:pStyle w:val="Compact"/>
            </w:pPr>
            <w:r>
              <w:t xml:space="preserve">-0.0972</w:t>
            </w:r>
          </w:p>
        </w:tc>
      </w:tr>
      <w:tr>
        <w:tc>
          <w:tcPr/>
          <w:p>
            <w:pPr>
              <w:pStyle w:val="Compact"/>
            </w:pPr>
          </w:p>
        </w:tc>
        <w:tc>
          <w:tcPr/>
          <w:p>
            <w:pPr>
              <w:pStyle w:val="Compact"/>
            </w:pPr>
            <w:r>
              <w:t xml:space="preserve">(0.0676)</w:t>
            </w:r>
          </w:p>
        </w:tc>
        <w:tc>
          <w:tcPr/>
          <w:p>
            <w:pPr>
              <w:pStyle w:val="Compact"/>
            </w:pPr>
            <w:r>
              <w:t xml:space="preserve">(0.1333)</w:t>
            </w:r>
          </w:p>
        </w:tc>
        <w:tc>
          <w:tcPr/>
          <w:p>
            <w:pPr>
              <w:pStyle w:val="Compact"/>
            </w:pPr>
            <w:r>
              <w:t xml:space="preserve">(0.1336)</w:t>
            </w:r>
          </w:p>
        </w:tc>
        <w:tc>
          <w:tcPr/>
          <w:p>
            <w:pPr>
              <w:pStyle w:val="Compact"/>
            </w:pPr>
            <w:r>
              <w:t xml:space="preserve">(0.1353)</w:t>
            </w:r>
          </w:p>
        </w:tc>
        <w:tc>
          <w:tcPr/>
          <w:p>
            <w:pPr>
              <w:pStyle w:val="Compact"/>
            </w:pPr>
            <w:r>
              <w:t xml:space="preserve">(0.1494)</w:t>
            </w:r>
          </w:p>
        </w:tc>
      </w:tr>
      <w:tr>
        <w:tc>
          <w:tcPr/>
          <w:p>
            <w:pPr>
              <w:pStyle w:val="Compact"/>
            </w:pPr>
            <w:r>
              <w:t xml:space="preserve">Renewable energy (% total final energy consumption)</w:t>
            </w:r>
          </w:p>
        </w:tc>
        <w:tc>
          <w:tcPr/>
          <w:p>
            <w:pPr>
              <w:pStyle w:val="Compact"/>
            </w:pPr>
            <w:r>
              <w:t xml:space="preserve">0.0017</w:t>
            </w:r>
          </w:p>
        </w:tc>
        <w:tc>
          <w:tcPr/>
          <w:p>
            <w:pPr>
              <w:pStyle w:val="Compact"/>
            </w:pPr>
            <w:r>
              <w:t xml:space="preserve">0.0025</w:t>
            </w:r>
          </w:p>
        </w:tc>
        <w:tc>
          <w:tcPr/>
          <w:p>
            <w:pPr>
              <w:pStyle w:val="Compact"/>
            </w:pPr>
            <w:r>
              <w:t xml:space="preserve">0.0025</w:t>
            </w:r>
          </w:p>
        </w:tc>
        <w:tc>
          <w:tcPr/>
          <w:p>
            <w:pPr>
              <w:pStyle w:val="Compact"/>
            </w:pPr>
            <w:r>
              <w:t xml:space="preserve">0.0026</w:t>
            </w:r>
          </w:p>
        </w:tc>
        <w:tc>
          <w:tcPr/>
          <w:p>
            <w:pPr>
              <w:pStyle w:val="Compact"/>
            </w:pPr>
            <w:r>
              <w:t xml:space="preserve">-0.0014</w:t>
            </w:r>
          </w:p>
        </w:tc>
      </w:tr>
      <w:tr>
        <w:tc>
          <w:tcPr/>
          <w:p>
            <w:pPr>
              <w:pStyle w:val="Compact"/>
            </w:pPr>
          </w:p>
        </w:tc>
        <w:tc>
          <w:tcPr/>
          <w:p>
            <w:pPr>
              <w:pStyle w:val="Compact"/>
            </w:pPr>
            <w:r>
              <w:t xml:space="preserve">(0.0020)</w:t>
            </w:r>
          </w:p>
        </w:tc>
        <w:tc>
          <w:tcPr/>
          <w:p>
            <w:pPr>
              <w:pStyle w:val="Compact"/>
            </w:pPr>
            <w:r>
              <w:t xml:space="preserve">(0.0041)</w:t>
            </w:r>
          </w:p>
        </w:tc>
        <w:tc>
          <w:tcPr/>
          <w:p>
            <w:pPr>
              <w:pStyle w:val="Compact"/>
            </w:pPr>
            <w:r>
              <w:t xml:space="preserve">(0.0041)</w:t>
            </w:r>
          </w:p>
        </w:tc>
        <w:tc>
          <w:tcPr/>
          <w:p>
            <w:pPr>
              <w:pStyle w:val="Compact"/>
            </w:pPr>
            <w:r>
              <w:t xml:space="preserve">(0.0042)</w:t>
            </w:r>
          </w:p>
        </w:tc>
        <w:tc>
          <w:tcPr/>
          <w:p>
            <w:pPr>
              <w:pStyle w:val="Compact"/>
            </w:pPr>
            <w:r>
              <w:t xml:space="preserve">(0.0023)</w:t>
            </w:r>
          </w:p>
        </w:tc>
      </w:tr>
      <w:tr>
        <w:tc>
          <w:tcPr/>
          <w:p>
            <w:pPr>
              <w:pStyle w:val="Compact"/>
            </w:pPr>
            <w:r>
              <w:t xml:space="preserve">Capital formation / Value added</w:t>
            </w:r>
          </w:p>
        </w:tc>
        <w:tc>
          <w:tcPr/>
          <w:p>
            <w:pPr>
              <w:pStyle w:val="Compact"/>
            </w:pPr>
            <w:r>
              <w:t xml:space="preserve">-0.4332*</w:t>
            </w:r>
          </w:p>
        </w:tc>
        <w:tc>
          <w:tcPr/>
          <w:p>
            <w:pPr>
              <w:pStyle w:val="Compact"/>
            </w:pPr>
            <w:r>
              <w:t xml:space="preserve">0.6631***</w:t>
            </w:r>
          </w:p>
        </w:tc>
        <w:tc>
          <w:tcPr/>
          <w:p>
            <w:pPr>
              <w:pStyle w:val="Compact"/>
            </w:pPr>
            <w:r>
              <w:t xml:space="preserve">0.6682***</w:t>
            </w:r>
          </w:p>
        </w:tc>
        <w:tc>
          <w:tcPr/>
          <w:p>
            <w:pPr>
              <w:pStyle w:val="Compact"/>
            </w:pPr>
            <w:r>
              <w:t xml:space="preserve">0.6555***</w:t>
            </w:r>
          </w:p>
        </w:tc>
        <w:tc>
          <w:tcPr/>
          <w:p>
            <w:pPr>
              <w:pStyle w:val="Compact"/>
            </w:pPr>
            <w:r>
              <w:t xml:space="preserve">0.6370***</w:t>
            </w:r>
          </w:p>
        </w:tc>
      </w:tr>
      <w:tr>
        <w:tc>
          <w:tcPr/>
          <w:p>
            <w:pPr>
              <w:pStyle w:val="Compact"/>
            </w:pPr>
          </w:p>
        </w:tc>
        <w:tc>
          <w:tcPr/>
          <w:p>
            <w:pPr>
              <w:pStyle w:val="Compact"/>
            </w:pPr>
            <w:r>
              <w:t xml:space="preserve">(0.2470)</w:t>
            </w:r>
          </w:p>
        </w:tc>
        <w:tc>
          <w:tcPr/>
          <w:p>
            <w:pPr>
              <w:pStyle w:val="Compact"/>
            </w:pPr>
            <w:r>
              <w:t xml:space="preserve">(0.1388)</w:t>
            </w:r>
          </w:p>
        </w:tc>
        <w:tc>
          <w:tcPr/>
          <w:p>
            <w:pPr>
              <w:pStyle w:val="Compact"/>
            </w:pPr>
            <w:r>
              <w:t xml:space="preserve">(0.1386)</w:t>
            </w:r>
          </w:p>
        </w:tc>
        <w:tc>
          <w:tcPr/>
          <w:p>
            <w:pPr>
              <w:pStyle w:val="Compact"/>
            </w:pPr>
            <w:r>
              <w:t xml:space="preserve">(0.1395)</w:t>
            </w:r>
          </w:p>
        </w:tc>
        <w:tc>
          <w:tcPr/>
          <w:p>
            <w:pPr>
              <w:pStyle w:val="Compact"/>
            </w:pPr>
            <w:r>
              <w:t xml:space="preserve">(0.1441)</w:t>
            </w:r>
          </w:p>
        </w:tc>
      </w:tr>
      <w:tr>
        <w:tc>
          <w:tcPr/>
          <w:p>
            <w:pPr>
              <w:pStyle w:val="Compact"/>
            </w:pPr>
            <w:r>
              <w:t xml:space="preserve">R&amp;D expenditure (% of GDP)</w:t>
            </w:r>
          </w:p>
        </w:tc>
        <w:tc>
          <w:tcPr/>
          <w:p>
            <w:pPr>
              <w:pStyle w:val="Compact"/>
            </w:pPr>
            <w:r>
              <w:t xml:space="preserve">0.0269</w:t>
            </w:r>
          </w:p>
        </w:tc>
        <w:tc>
          <w:tcPr/>
          <w:p>
            <w:pPr>
              <w:pStyle w:val="Compact"/>
            </w:pPr>
            <w:r>
              <w:t xml:space="preserve">0.0450**</w:t>
            </w:r>
          </w:p>
        </w:tc>
        <w:tc>
          <w:tcPr/>
          <w:p>
            <w:pPr>
              <w:pStyle w:val="Compact"/>
            </w:pPr>
            <w:r>
              <w:t xml:space="preserve">0.0454**</w:t>
            </w:r>
          </w:p>
        </w:tc>
        <w:tc>
          <w:tcPr/>
          <w:p>
            <w:pPr>
              <w:pStyle w:val="Compact"/>
            </w:pPr>
            <w:r>
              <w:t xml:space="preserve">0.0397*</w:t>
            </w:r>
          </w:p>
        </w:tc>
        <w:tc>
          <w:tcPr/>
          <w:p>
            <w:pPr>
              <w:pStyle w:val="Compact"/>
            </w:pPr>
            <w:r>
              <w:t xml:space="preserve">-0.0020</w:t>
            </w:r>
          </w:p>
        </w:tc>
      </w:tr>
      <w:tr>
        <w:tc>
          <w:tcPr/>
          <w:p>
            <w:pPr>
              <w:pStyle w:val="Compact"/>
            </w:pPr>
          </w:p>
        </w:tc>
        <w:tc>
          <w:tcPr/>
          <w:p>
            <w:pPr>
              <w:pStyle w:val="Compact"/>
            </w:pPr>
            <w:r>
              <w:t xml:space="preserve">(0.0402)</w:t>
            </w:r>
          </w:p>
        </w:tc>
        <w:tc>
          <w:tcPr/>
          <w:p>
            <w:pPr>
              <w:pStyle w:val="Compact"/>
            </w:pPr>
            <w:r>
              <w:t xml:space="preserve">(0.0220)</w:t>
            </w:r>
          </w:p>
        </w:tc>
        <w:tc>
          <w:tcPr/>
          <w:p>
            <w:pPr>
              <w:pStyle w:val="Compact"/>
            </w:pPr>
            <w:r>
              <w:t xml:space="preserve">(0.0221)</w:t>
            </w:r>
          </w:p>
        </w:tc>
        <w:tc>
          <w:tcPr/>
          <w:p>
            <w:pPr>
              <w:pStyle w:val="Compact"/>
            </w:pPr>
            <w:r>
              <w:t xml:space="preserve">(0.0229)</w:t>
            </w:r>
          </w:p>
        </w:tc>
        <w:tc>
          <w:tcPr/>
          <w:p>
            <w:pPr>
              <w:pStyle w:val="Compact"/>
            </w:pPr>
            <w:r>
              <w:t xml:space="preserve">(0.0188)</w:t>
            </w:r>
          </w:p>
        </w:tc>
      </w:tr>
      <w:tr>
        <w:tc>
          <w:tcPr/>
          <w:p>
            <w:pPr>
              <w:pStyle w:val="Compact"/>
            </w:pPr>
            <w:r>
              <w:t xml:space="preserve">Trade openness (% of GDP)</w:t>
            </w:r>
          </w:p>
        </w:tc>
        <w:tc>
          <w:tcPr/>
          <w:p>
            <w:pPr>
              <w:pStyle w:val="Compact"/>
            </w:pPr>
            <w:r>
              <w:t xml:space="preserve">-0.0000</w:t>
            </w:r>
          </w:p>
        </w:tc>
        <w:tc>
          <w:tcPr/>
          <w:p>
            <w:pPr>
              <w:pStyle w:val="Compact"/>
            </w:pPr>
            <w:r>
              <w:t xml:space="preserve">-0.0012</w:t>
            </w:r>
          </w:p>
        </w:tc>
        <w:tc>
          <w:tcPr/>
          <w:p>
            <w:pPr>
              <w:pStyle w:val="Compact"/>
            </w:pPr>
            <w:r>
              <w:t xml:space="preserve">-0.0012</w:t>
            </w:r>
          </w:p>
        </w:tc>
        <w:tc>
          <w:tcPr/>
          <w:p>
            <w:pPr>
              <w:pStyle w:val="Compact"/>
            </w:pPr>
            <w:r>
              <w:t xml:space="preserve">-0.0011</w:t>
            </w:r>
          </w:p>
        </w:tc>
        <w:tc>
          <w:tcPr/>
          <w:p>
            <w:pPr>
              <w:pStyle w:val="Compact"/>
            </w:pPr>
            <w:r>
              <w:t xml:space="preserve">-0.0000</w:t>
            </w:r>
          </w:p>
        </w:tc>
      </w:tr>
      <w:tr>
        <w:tc>
          <w:tcPr/>
          <w:p>
            <w:pPr>
              <w:pStyle w:val="Compact"/>
            </w:pPr>
          </w:p>
        </w:tc>
        <w:tc>
          <w:tcPr/>
          <w:p>
            <w:pPr>
              <w:pStyle w:val="Compact"/>
            </w:pPr>
            <w:r>
              <w:t xml:space="preserve">(0.0006)</w:t>
            </w:r>
          </w:p>
        </w:tc>
        <w:tc>
          <w:tcPr/>
          <w:p>
            <w:pPr>
              <w:pStyle w:val="Compact"/>
            </w:pPr>
            <w:r>
              <w:t xml:space="preserve">(0.0009)</w:t>
            </w:r>
          </w:p>
        </w:tc>
        <w:tc>
          <w:tcPr/>
          <w:p>
            <w:pPr>
              <w:pStyle w:val="Compact"/>
            </w:pPr>
            <w:r>
              <w:t xml:space="preserve">(0.0009)</w:t>
            </w:r>
          </w:p>
        </w:tc>
        <w:tc>
          <w:tcPr/>
          <w:p>
            <w:pPr>
              <w:pStyle w:val="Compact"/>
            </w:pPr>
            <w:r>
              <w:t xml:space="preserve">(0.0009)</w:t>
            </w:r>
          </w:p>
        </w:tc>
        <w:tc>
          <w:tcPr/>
          <w:p>
            <w:pPr>
              <w:pStyle w:val="Compact"/>
            </w:pPr>
            <w:r>
              <w:t xml:space="preserve">(0.0005)</w:t>
            </w:r>
          </w:p>
        </w:tc>
      </w:tr>
      <w:tr>
        <w:tc>
          <w:tcPr/>
          <w:p>
            <w:pPr>
              <w:pStyle w:val="Compact"/>
            </w:pPr>
            <w:r>
              <w:t xml:space="preserve">Fixed broadband subscriptions (per 100 people)</w:t>
            </w:r>
          </w:p>
        </w:tc>
        <w:tc>
          <w:tcPr/>
          <w:p>
            <w:pPr>
              <w:pStyle w:val="Compact"/>
            </w:pPr>
            <w:r>
              <w:t xml:space="preserve">0.0035</w:t>
            </w:r>
          </w:p>
        </w:tc>
        <w:tc>
          <w:tcPr/>
          <w:p>
            <w:pPr>
              <w:pStyle w:val="Compact"/>
            </w:pPr>
            <w:r>
              <w:t xml:space="preserve">0.0015</w:t>
            </w:r>
          </w:p>
        </w:tc>
        <w:tc>
          <w:tcPr/>
          <w:p>
            <w:pPr>
              <w:pStyle w:val="Compact"/>
            </w:pPr>
            <w:r>
              <w:t xml:space="preserve">0.0015</w:t>
            </w:r>
          </w:p>
        </w:tc>
        <w:tc>
          <w:tcPr/>
          <w:p>
            <w:pPr>
              <w:pStyle w:val="Compact"/>
            </w:pPr>
            <w:r>
              <w:t xml:space="preserve">0.0025</w:t>
            </w:r>
          </w:p>
        </w:tc>
        <w:tc>
          <w:tcPr/>
          <w:p>
            <w:pPr>
              <w:pStyle w:val="Compact"/>
            </w:pPr>
            <w:r>
              <w:t xml:space="preserve">0.0001</w:t>
            </w:r>
          </w:p>
        </w:tc>
      </w:tr>
      <w:tr>
        <w:tc>
          <w:tcPr/>
          <w:p>
            <w:pPr>
              <w:pStyle w:val="Compact"/>
            </w:pPr>
          </w:p>
        </w:tc>
        <w:tc>
          <w:tcPr/>
          <w:p>
            <w:pPr>
              <w:pStyle w:val="Compact"/>
            </w:pPr>
            <w:r>
              <w:t xml:space="preserve">(0.0038)</w:t>
            </w:r>
          </w:p>
        </w:tc>
        <w:tc>
          <w:tcPr/>
          <w:p>
            <w:pPr>
              <w:pStyle w:val="Compact"/>
            </w:pPr>
            <w:r>
              <w:t xml:space="preserve">(0.0030)</w:t>
            </w:r>
          </w:p>
        </w:tc>
        <w:tc>
          <w:tcPr/>
          <w:p>
            <w:pPr>
              <w:pStyle w:val="Compact"/>
            </w:pPr>
            <w:r>
              <w:t xml:space="preserve">(0.0030)</w:t>
            </w:r>
          </w:p>
        </w:tc>
        <w:tc>
          <w:tcPr/>
          <w:p>
            <w:pPr>
              <w:pStyle w:val="Compact"/>
            </w:pPr>
            <w:r>
              <w:t xml:space="preserve">(0.0032)</w:t>
            </w:r>
          </w:p>
        </w:tc>
        <w:tc>
          <w:tcPr/>
          <w:p>
            <w:pPr>
              <w:pStyle w:val="Compact"/>
            </w:pPr>
            <w:r>
              <w:t xml:space="preserve">(0.0023)</w:t>
            </w:r>
          </w:p>
        </w:tc>
      </w:tr>
      <w:tr>
        <w:tc>
          <w:tcPr/>
          <w:p>
            <w:pPr>
              <w:pStyle w:val="Compact"/>
            </w:pPr>
            <w:r>
              <w:t xml:space="preserve">Num.Obs.</w:t>
            </w:r>
          </w:p>
        </w:tc>
        <w:tc>
          <w:tcPr/>
          <w:p>
            <w:pPr>
              <w:pStyle w:val="Compact"/>
            </w:pPr>
            <w:r>
              <w:t xml:space="preserve">3120</w:t>
            </w:r>
          </w:p>
        </w:tc>
        <w:tc>
          <w:tcPr/>
          <w:p>
            <w:pPr>
              <w:pStyle w:val="Compact"/>
            </w:pPr>
            <w:r>
              <w:t xml:space="preserve">3120</w:t>
            </w:r>
          </w:p>
        </w:tc>
        <w:tc>
          <w:tcPr/>
          <w:p>
            <w:pPr>
              <w:pStyle w:val="Compact"/>
            </w:pPr>
            <w:r>
              <w:t xml:space="preserve">3120</w:t>
            </w:r>
          </w:p>
        </w:tc>
        <w:tc>
          <w:tcPr/>
          <w:p>
            <w:pPr>
              <w:pStyle w:val="Compact"/>
            </w:pPr>
            <w:r>
              <w:t xml:space="preserve">3120</w:t>
            </w:r>
          </w:p>
        </w:tc>
        <w:tc>
          <w:tcPr/>
          <w:p>
            <w:pPr>
              <w:pStyle w:val="Compact"/>
            </w:pPr>
          </w:p>
        </w:tc>
      </w:tr>
      <w:tr>
        <w:tc>
          <w:tcPr/>
          <w:p>
            <w:pPr>
              <w:pStyle w:val="Compact"/>
            </w:pPr>
            <w:r>
              <w:t xml:space="preserve">R2</w:t>
            </w:r>
          </w:p>
        </w:tc>
        <w:tc>
          <w:tcPr/>
          <w:p>
            <w:pPr>
              <w:pStyle w:val="Compact"/>
            </w:pPr>
            <w:r>
              <w:t xml:space="preserve">0.110</w:t>
            </w:r>
          </w:p>
        </w:tc>
        <w:tc>
          <w:tcPr/>
          <w:p>
            <w:pPr>
              <w:pStyle w:val="Compact"/>
            </w:pPr>
            <w:r>
              <w:t xml:space="preserve">0.935</w:t>
            </w:r>
          </w:p>
        </w:tc>
        <w:tc>
          <w:tcPr/>
          <w:p>
            <w:pPr>
              <w:pStyle w:val="Compact"/>
            </w:pPr>
            <w:r>
              <w:t xml:space="preserve">0.935</w:t>
            </w:r>
          </w:p>
        </w:tc>
        <w:tc>
          <w:tcPr/>
          <w:p>
            <w:pPr>
              <w:pStyle w:val="Compact"/>
            </w:pPr>
            <w:r>
              <w:t xml:space="preserve">0.935</w:t>
            </w:r>
          </w:p>
        </w:tc>
        <w:tc>
          <w:tcPr/>
          <w:p>
            <w:pPr>
              <w:pStyle w:val="Compact"/>
            </w:pPr>
          </w:p>
        </w:tc>
      </w:tr>
      <w:tr>
        <w:tc>
          <w:tcPr/>
          <w:p>
            <w:pPr>
              <w:pStyle w:val="Compact"/>
            </w:pPr>
            <w:r>
              <w:t xml:space="preserve">R2 Adj.</w:t>
            </w:r>
          </w:p>
        </w:tc>
        <w:tc>
          <w:tcPr/>
          <w:p>
            <w:pPr>
              <w:pStyle w:val="Compact"/>
            </w:pPr>
            <w:r>
              <w:t xml:space="preserve">0.108</w:t>
            </w:r>
          </w:p>
        </w:tc>
        <w:tc>
          <w:tcPr/>
          <w:p>
            <w:pPr>
              <w:pStyle w:val="Compact"/>
            </w:pPr>
            <w:r>
              <w:t xml:space="preserve">0.929</w:t>
            </w:r>
          </w:p>
        </w:tc>
        <w:tc>
          <w:tcPr/>
          <w:p>
            <w:pPr>
              <w:pStyle w:val="Compact"/>
            </w:pPr>
            <w:r>
              <w:t xml:space="preserve">0.929</w:t>
            </w:r>
          </w:p>
        </w:tc>
        <w:tc>
          <w:tcPr/>
          <w:p>
            <w:pPr>
              <w:pStyle w:val="Compact"/>
            </w:pPr>
            <w:r>
              <w:t xml:space="preserve">0.929</w:t>
            </w:r>
          </w:p>
        </w:tc>
        <w:tc>
          <w:tcPr/>
          <w:p>
            <w:pPr>
              <w:pStyle w:val="Compact"/>
            </w:pPr>
          </w:p>
        </w:tc>
      </w:tr>
      <w:tr>
        <w:tc>
          <w:tcPr/>
          <w:p>
            <w:pPr>
              <w:pStyle w:val="Compact"/>
            </w:pPr>
            <w:r>
              <w:t xml:space="preserve">R2 Within</w:t>
            </w:r>
          </w:p>
        </w:tc>
        <w:tc>
          <w:tcPr/>
          <w:p>
            <w:pPr>
              <w:pStyle w:val="Compact"/>
            </w:pPr>
          </w:p>
        </w:tc>
        <w:tc>
          <w:tcPr/>
          <w:p>
            <w:pPr>
              <w:pStyle w:val="Compact"/>
            </w:pPr>
            <w:r>
              <w:t xml:space="preserve">0.153</w:t>
            </w:r>
          </w:p>
        </w:tc>
        <w:tc>
          <w:tcPr/>
          <w:p>
            <w:pPr>
              <w:pStyle w:val="Compact"/>
            </w:pPr>
            <w:r>
              <w:t xml:space="preserve">0.154</w:t>
            </w:r>
          </w:p>
        </w:tc>
        <w:tc>
          <w:tcPr/>
          <w:p>
            <w:pPr>
              <w:pStyle w:val="Compact"/>
            </w:pPr>
            <w:r>
              <w:t xml:space="preserve">0.152</w:t>
            </w:r>
          </w:p>
        </w:tc>
        <w:tc>
          <w:tcPr/>
          <w:p>
            <w:pPr>
              <w:pStyle w:val="Compact"/>
            </w:pPr>
          </w:p>
        </w:tc>
      </w:tr>
      <w:tr>
        <w:tc>
          <w:tcPr/>
          <w:p>
            <w:pPr>
              <w:pStyle w:val="Compact"/>
            </w:pPr>
            <w:r>
              <w:t xml:space="preserve">R2 Within Adj.</w:t>
            </w:r>
          </w:p>
        </w:tc>
        <w:tc>
          <w:tcPr/>
          <w:p>
            <w:pPr>
              <w:pStyle w:val="Compact"/>
            </w:pPr>
          </w:p>
        </w:tc>
        <w:tc>
          <w:tcPr/>
          <w:p>
            <w:pPr>
              <w:pStyle w:val="Compact"/>
            </w:pPr>
            <w:r>
              <w:t xml:space="preserve">0.151</w:t>
            </w:r>
          </w:p>
        </w:tc>
        <w:tc>
          <w:tcPr/>
          <w:p>
            <w:pPr>
              <w:pStyle w:val="Compact"/>
            </w:pPr>
            <w:r>
              <w:t xml:space="preserve">0.151</w:t>
            </w:r>
          </w:p>
        </w:tc>
        <w:tc>
          <w:tcPr/>
          <w:p>
            <w:pPr>
              <w:pStyle w:val="Compact"/>
            </w:pPr>
            <w:r>
              <w:t xml:space="preserve">0.150</w:t>
            </w:r>
          </w:p>
        </w:tc>
        <w:tc>
          <w:tcPr/>
          <w:p>
            <w:pPr>
              <w:pStyle w:val="Compact"/>
            </w:pPr>
          </w:p>
        </w:tc>
      </w:tr>
      <w:tr>
        <w:tc>
          <w:tcPr/>
          <w:p>
            <w:pPr>
              <w:pStyle w:val="Compact"/>
            </w:pPr>
            <w:r>
              <w:t xml:space="preserve">FE: pair_id</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FE: year</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r>
      <w:tr>
        <w:tc>
          <w:tcPr>
            <w:gridSpan w:val="6"/>
          </w:tcPr>
          <w:p>
            <w:pPr>
              <w:pStyle w:val="Compact"/>
              <w:numPr>
                <w:ilvl w:val="0"/>
                <w:numId w:val="1006"/>
              </w:numPr>
            </w:pPr>
            <w:r>
              <w:t xml:space="preserve">p &lt; 0.1, ** p &lt; 0.05, *** p &lt; 0.01</w:t>
            </w:r>
          </w:p>
        </w:tc>
      </w:tr>
      <w:tr>
        <w:tc>
          <w:tcPr>
            <w:gridSpan w:val="6"/>
          </w:tcPr>
          <w:p>
            <w:pPr>
              <w:pStyle w:val="Compact"/>
            </w:pPr>
            <w:r>
              <w:t xml:space="preserve">Dependent variable: ln(labor income share) = ln(LABR / VALU).</w:t>
            </w:r>
          </w:p>
        </w:tc>
      </w:tr>
      <w:tr>
        <w:tc>
          <w:tcPr>
            <w:gridSpan w:val="6"/>
          </w:tcPr>
          <w:p>
            <w:pPr>
              <w:pStyle w:val="Compact"/>
            </w:pPr>
            <w:r>
              <w:t xml:space="preserve">FE-IV: instrument = AIPI_bartik (leave-one-out mean AI patents, other 24 OECD countries, same year).</w:t>
            </w:r>
          </w:p>
        </w:tc>
      </w:tr>
      <w:tr>
        <w:tc>
          <w:tcPr>
            <w:gridSpan w:val="6"/>
          </w:tcPr>
          <w:p>
            <w:pPr>
              <w:pStyle w:val="Compact"/>
            </w:pPr>
            <w:r>
              <w:t xml:space="preserve">SE clustered at pair level (Cols 0-3); two-step robust GMM SE (Col 4).</w:t>
            </w:r>
          </w:p>
        </w:tc>
      </w:tr>
      <w:tr>
        <w:tc>
          <w:tcPr>
            <w:gridSpan w:val="6"/>
          </w:tcPr>
          <w:p>
            <w:pPr>
              <w:pStyle w:val="Compact"/>
              <w:numPr>
                <w:ilvl w:val="0"/>
                <w:numId w:val="1007"/>
              </w:numPr>
            </w:pPr>
            <w:r>
              <w:t xml:space="preserve">p&lt;0.10, ** p&lt;0.05, *** p&lt;0.01. Alpha = 0.10.</w:t>
            </w:r>
          </w:p>
        </w:tc>
      </w:tr>
    </w:tbl>
    <w:tbl>
      <w:tblPr>
        <w:tblStyle w:val="Table"/>
        <w:tblW w:type="pct" w:w="4909"/>
        <w:tblLayout w:type="fixed"/>
        <w:tblLook w:firstRow="1" w:lastRow="1" w:firstColumn="0" w:lastColumn="0" w:noHBand="0" w:noVBand="0" w:val="0020"/>
        <w:tblCaption w:val="Book Table 4. Channel Decomposition: Employment, Wage and Value-Added Effects (FE-IV)"/>
      </w:tblPr>
      <w:tblGrid>
        <w:gridCol w:w="3888"/>
        <w:gridCol w:w="1224"/>
        <w:gridCol w:w="1368"/>
        <w:gridCol w:w="1296"/>
      </w:tblGrid>
      <w:tr>
        <w:trPr>
          <w:tblHeader w:val="on"/>
        </w:trPr>
        <w:tc>
          <w:tcPr/>
          <w:p>
            <w:pPr>
              <w:pStyle w:val="Compact"/>
            </w:pPr>
          </w:p>
        </w:tc>
        <w:tc>
          <w:tcPr/>
          <w:p>
            <w:pPr>
              <w:pStyle w:val="Compact"/>
              <w:numPr>
                <w:ilvl w:val="0"/>
                <w:numId w:val="1001"/>
              </w:numPr>
            </w:pPr>
            <w:r>
              <w:t xml:space="preserve">Employment</w:t>
            </w:r>
          </w:p>
        </w:tc>
        <w:tc>
          <w:tcPr/>
          <w:p>
            <w:pPr>
              <w:pStyle w:val="Compact"/>
              <w:numPr>
                <w:ilvl w:val="0"/>
                <w:numId w:val="1002"/>
              </w:numPr>
            </w:pPr>
            <w:r>
              <w:t xml:space="preserve">Average wage</w:t>
            </w:r>
          </w:p>
        </w:tc>
        <w:tc>
          <w:tcPr/>
          <w:p>
            <w:pPr>
              <w:pStyle w:val="Compact"/>
              <w:numPr>
                <w:ilvl w:val="0"/>
                <w:numId w:val="1003"/>
              </w:numPr>
            </w:pPr>
            <w:r>
              <w:t xml:space="preserve">Value added</w:t>
            </w:r>
          </w:p>
        </w:tc>
      </w:tr>
      <w:tr>
        <w:tc>
          <w:tcPr/>
          <w:p>
            <w:pPr>
              <w:pStyle w:val="Compact"/>
            </w:pPr>
            <w:r>
              <w:t xml:space="preserve">AI Patent Intensity (ln, IV)</w:t>
            </w:r>
          </w:p>
        </w:tc>
        <w:tc>
          <w:tcPr/>
          <w:p>
            <w:pPr>
              <w:pStyle w:val="Compact"/>
            </w:pPr>
            <w:r>
              <w:t xml:space="preserve">0.0899***</w:t>
            </w:r>
          </w:p>
        </w:tc>
        <w:tc>
          <w:tcPr/>
          <w:p>
            <w:pPr>
              <w:pStyle w:val="Compact"/>
            </w:pPr>
            <w:r>
              <w:t xml:space="preserve">-0.0706***</w:t>
            </w:r>
          </w:p>
        </w:tc>
        <w:tc>
          <w:tcPr/>
          <w:p>
            <w:pPr>
              <w:pStyle w:val="Compact"/>
            </w:pPr>
            <w:r>
              <w:t xml:space="preserve">0.0079</w:t>
            </w:r>
          </w:p>
        </w:tc>
      </w:tr>
      <w:tr>
        <w:tc>
          <w:tcPr/>
          <w:p>
            <w:pPr>
              <w:pStyle w:val="Compact"/>
            </w:pPr>
          </w:p>
        </w:tc>
        <w:tc>
          <w:tcPr/>
          <w:p>
            <w:pPr>
              <w:pStyle w:val="Compact"/>
            </w:pPr>
            <w:r>
              <w:t xml:space="preserve">(0.0226)</w:t>
            </w:r>
          </w:p>
        </w:tc>
        <w:tc>
          <w:tcPr/>
          <w:p>
            <w:pPr>
              <w:pStyle w:val="Compact"/>
            </w:pPr>
            <w:r>
              <w:t xml:space="preserve">(0.0226)</w:t>
            </w:r>
          </w:p>
        </w:tc>
        <w:tc>
          <w:tcPr/>
          <w:p>
            <w:pPr>
              <w:pStyle w:val="Compact"/>
            </w:pPr>
            <w:r>
              <w:t xml:space="preserve">(0.0321)</w:t>
            </w:r>
          </w:p>
        </w:tc>
      </w:tr>
      <w:tr>
        <w:tc>
          <w:tcPr/>
          <w:p>
            <w:pPr>
              <w:pStyle w:val="Compact"/>
            </w:pPr>
            <w:r>
              <w:t xml:space="preserve">GDP per capita (ln, constant 2015 USD)</w:t>
            </w:r>
          </w:p>
        </w:tc>
        <w:tc>
          <w:tcPr/>
          <w:p>
            <w:pPr>
              <w:pStyle w:val="Compact"/>
            </w:pPr>
            <w:r>
              <w:t xml:space="preserve">0.3410***</w:t>
            </w:r>
          </w:p>
        </w:tc>
        <w:tc>
          <w:tcPr/>
          <w:p>
            <w:pPr>
              <w:pStyle w:val="Compact"/>
            </w:pPr>
            <w:r>
              <w:t xml:space="preserve">0.4606***</w:t>
            </w:r>
          </w:p>
        </w:tc>
        <w:tc>
          <w:tcPr/>
          <w:p>
            <w:pPr>
              <w:pStyle w:val="Compact"/>
            </w:pPr>
            <w:r>
              <w:t xml:space="preserve">1.0392***</w:t>
            </w:r>
          </w:p>
        </w:tc>
      </w:tr>
      <w:tr>
        <w:tc>
          <w:tcPr/>
          <w:p>
            <w:pPr>
              <w:pStyle w:val="Compact"/>
            </w:pPr>
          </w:p>
        </w:tc>
        <w:tc>
          <w:tcPr/>
          <w:p>
            <w:pPr>
              <w:pStyle w:val="Compact"/>
            </w:pPr>
            <w:r>
              <w:t xml:space="preserve">(0.0767)</w:t>
            </w:r>
          </w:p>
        </w:tc>
        <w:tc>
          <w:tcPr/>
          <w:p>
            <w:pPr>
              <w:pStyle w:val="Compact"/>
            </w:pPr>
            <w:r>
              <w:t xml:space="preserve">(0.0905)</w:t>
            </w:r>
          </w:p>
        </w:tc>
        <w:tc>
          <w:tcPr/>
          <w:p>
            <w:pPr>
              <w:pStyle w:val="Compact"/>
            </w:pPr>
            <w:r>
              <w:t xml:space="preserve">(0.1971)</w:t>
            </w:r>
          </w:p>
        </w:tc>
      </w:tr>
      <w:tr>
        <w:tc>
          <w:tcPr/>
          <w:p>
            <w:pPr>
              <w:pStyle w:val="Compact"/>
            </w:pPr>
            <w:r>
              <w:t xml:space="preserve">Renewable energy (% total final energy consumption)</w:t>
            </w:r>
          </w:p>
        </w:tc>
        <w:tc>
          <w:tcPr/>
          <w:p>
            <w:pPr>
              <w:pStyle w:val="Compact"/>
            </w:pPr>
            <w:r>
              <w:t xml:space="preserve">0.0000</w:t>
            </w:r>
          </w:p>
        </w:tc>
        <w:tc>
          <w:tcPr/>
          <w:p>
            <w:pPr>
              <w:pStyle w:val="Compact"/>
            </w:pPr>
            <w:r>
              <w:t xml:space="preserve">-0.0019</w:t>
            </w:r>
          </w:p>
        </w:tc>
        <w:tc>
          <w:tcPr/>
          <w:p>
            <w:pPr>
              <w:pStyle w:val="Compact"/>
            </w:pPr>
            <w:r>
              <w:t xml:space="preserve">-0.0044</w:t>
            </w:r>
          </w:p>
        </w:tc>
      </w:tr>
      <w:tr>
        <w:tc>
          <w:tcPr/>
          <w:p>
            <w:pPr>
              <w:pStyle w:val="Compact"/>
            </w:pPr>
          </w:p>
        </w:tc>
        <w:tc>
          <w:tcPr/>
          <w:p>
            <w:pPr>
              <w:pStyle w:val="Compact"/>
            </w:pPr>
            <w:r>
              <w:t xml:space="preserve">(0.0020)</w:t>
            </w:r>
          </w:p>
        </w:tc>
        <w:tc>
          <w:tcPr/>
          <w:p>
            <w:pPr>
              <w:pStyle w:val="Compact"/>
            </w:pPr>
            <w:r>
              <w:t xml:space="preserve">(0.0017)</w:t>
            </w:r>
          </w:p>
        </w:tc>
        <w:tc>
          <w:tcPr/>
          <w:p>
            <w:pPr>
              <w:pStyle w:val="Compact"/>
            </w:pPr>
            <w:r>
              <w:t xml:space="preserve">(0.0046)</w:t>
            </w:r>
          </w:p>
        </w:tc>
      </w:tr>
      <w:tr>
        <w:tc>
          <w:tcPr/>
          <w:p>
            <w:pPr>
              <w:pStyle w:val="Compact"/>
            </w:pPr>
            <w:r>
              <w:t xml:space="preserve">Capital formation / Value added</w:t>
            </w:r>
          </w:p>
        </w:tc>
        <w:tc>
          <w:tcPr/>
          <w:p>
            <w:pPr>
              <w:pStyle w:val="Compact"/>
            </w:pPr>
            <w:r>
              <w:t xml:space="preserve">0.0055</w:t>
            </w:r>
          </w:p>
        </w:tc>
        <w:tc>
          <w:tcPr/>
          <w:p>
            <w:pPr>
              <w:pStyle w:val="Compact"/>
            </w:pPr>
            <w:r>
              <w:t xml:space="preserve">0.1009***</w:t>
            </w:r>
          </w:p>
        </w:tc>
        <w:tc>
          <w:tcPr/>
          <w:p>
            <w:pPr>
              <w:pStyle w:val="Compact"/>
            </w:pPr>
            <w:r>
              <w:t xml:space="preserve">-0.5491***</w:t>
            </w:r>
          </w:p>
        </w:tc>
      </w:tr>
      <w:tr>
        <w:tc>
          <w:tcPr/>
          <w:p>
            <w:pPr>
              <w:pStyle w:val="Compact"/>
            </w:pPr>
          </w:p>
        </w:tc>
        <w:tc>
          <w:tcPr/>
          <w:p>
            <w:pPr>
              <w:pStyle w:val="Compact"/>
            </w:pPr>
            <w:r>
              <w:t xml:space="preserve">(0.0373)</w:t>
            </w:r>
          </w:p>
        </w:tc>
        <w:tc>
          <w:tcPr/>
          <w:p>
            <w:pPr>
              <w:pStyle w:val="Compact"/>
            </w:pPr>
            <w:r>
              <w:t xml:space="preserve">(0.0359)</w:t>
            </w:r>
          </w:p>
        </w:tc>
        <w:tc>
          <w:tcPr/>
          <w:p>
            <w:pPr>
              <w:pStyle w:val="Compact"/>
            </w:pPr>
            <w:r>
              <w:t xml:space="preserve">(0.1461)</w:t>
            </w:r>
          </w:p>
        </w:tc>
      </w:tr>
      <w:tr>
        <w:tc>
          <w:tcPr/>
          <w:p>
            <w:pPr>
              <w:pStyle w:val="Compact"/>
            </w:pPr>
            <w:r>
              <w:t xml:space="preserve">R&amp;D expenditure (% of GDP)</w:t>
            </w:r>
          </w:p>
        </w:tc>
        <w:tc>
          <w:tcPr/>
          <w:p>
            <w:pPr>
              <w:pStyle w:val="Compact"/>
            </w:pPr>
            <w:r>
              <w:t xml:space="preserve">-0.0310*</w:t>
            </w:r>
          </w:p>
        </w:tc>
        <w:tc>
          <w:tcPr/>
          <w:p>
            <w:pPr>
              <w:pStyle w:val="Compact"/>
            </w:pPr>
            <w:r>
              <w:t xml:space="preserve">0.0384***</w:t>
            </w:r>
          </w:p>
        </w:tc>
        <w:tc>
          <w:tcPr/>
          <w:p>
            <w:pPr>
              <w:pStyle w:val="Compact"/>
            </w:pPr>
            <w:r>
              <w:t xml:space="preserve">-0.0323</w:t>
            </w:r>
          </w:p>
        </w:tc>
      </w:tr>
      <w:tr>
        <w:tc>
          <w:tcPr/>
          <w:p>
            <w:pPr>
              <w:pStyle w:val="Compact"/>
            </w:pPr>
          </w:p>
        </w:tc>
        <w:tc>
          <w:tcPr/>
          <w:p>
            <w:pPr>
              <w:pStyle w:val="Compact"/>
            </w:pPr>
            <w:r>
              <w:t xml:space="preserve">(0.0181)</w:t>
            </w:r>
          </w:p>
        </w:tc>
        <w:tc>
          <w:tcPr/>
          <w:p>
            <w:pPr>
              <w:pStyle w:val="Compact"/>
            </w:pPr>
            <w:r>
              <w:t xml:space="preserve">(0.0146)</w:t>
            </w:r>
          </w:p>
        </w:tc>
        <w:tc>
          <w:tcPr/>
          <w:p>
            <w:pPr>
              <w:pStyle w:val="Compact"/>
            </w:pPr>
            <w:r>
              <w:t xml:space="preserve">(0.0275)</w:t>
            </w:r>
          </w:p>
        </w:tc>
      </w:tr>
      <w:tr>
        <w:tc>
          <w:tcPr/>
          <w:p>
            <w:pPr>
              <w:pStyle w:val="Compact"/>
            </w:pPr>
            <w:r>
              <w:t xml:space="preserve">Trade openness (% of GDP)</w:t>
            </w:r>
          </w:p>
        </w:tc>
        <w:tc>
          <w:tcPr/>
          <w:p>
            <w:pPr>
              <w:pStyle w:val="Compact"/>
            </w:pPr>
            <w:r>
              <w:t xml:space="preserve">0.0000</w:t>
            </w:r>
          </w:p>
        </w:tc>
        <w:tc>
          <w:tcPr/>
          <w:p>
            <w:pPr>
              <w:pStyle w:val="Compact"/>
            </w:pPr>
            <w:r>
              <w:t xml:space="preserve">-0.0032***</w:t>
            </w:r>
          </w:p>
        </w:tc>
        <w:tc>
          <w:tcPr/>
          <w:p>
            <w:pPr>
              <w:pStyle w:val="Compact"/>
            </w:pPr>
            <w:r>
              <w:t xml:space="preserve">-0.0021*</w:t>
            </w:r>
          </w:p>
        </w:tc>
      </w:tr>
      <w:tr>
        <w:tc>
          <w:tcPr/>
          <w:p>
            <w:pPr>
              <w:pStyle w:val="Compact"/>
            </w:pPr>
          </w:p>
        </w:tc>
        <w:tc>
          <w:tcPr/>
          <w:p>
            <w:pPr>
              <w:pStyle w:val="Compact"/>
            </w:pPr>
            <w:r>
              <w:t xml:space="preserve">(0.0004)</w:t>
            </w:r>
          </w:p>
        </w:tc>
        <w:tc>
          <w:tcPr/>
          <w:p>
            <w:pPr>
              <w:pStyle w:val="Compact"/>
            </w:pPr>
            <w:r>
              <w:t xml:space="preserve">(0.0004)</w:t>
            </w:r>
          </w:p>
        </w:tc>
        <w:tc>
          <w:tcPr/>
          <w:p>
            <w:pPr>
              <w:pStyle w:val="Compact"/>
            </w:pPr>
            <w:r>
              <w:t xml:space="preserve">(0.0011)</w:t>
            </w:r>
          </w:p>
        </w:tc>
      </w:tr>
      <w:tr>
        <w:tc>
          <w:tcPr/>
          <w:p>
            <w:pPr>
              <w:pStyle w:val="Compact"/>
            </w:pPr>
            <w:r>
              <w:t xml:space="preserve">Fixed broadband subscriptions (per 100 people)</w:t>
            </w:r>
          </w:p>
        </w:tc>
        <w:tc>
          <w:tcPr/>
          <w:p>
            <w:pPr>
              <w:pStyle w:val="Compact"/>
            </w:pPr>
            <w:r>
              <w:t xml:space="preserve">0.0012</w:t>
            </w:r>
          </w:p>
        </w:tc>
        <w:tc>
          <w:tcPr/>
          <w:p>
            <w:pPr>
              <w:pStyle w:val="Compact"/>
            </w:pPr>
            <w:r>
              <w:t xml:space="preserve">-0.0050*</w:t>
            </w:r>
          </w:p>
        </w:tc>
        <w:tc>
          <w:tcPr/>
          <w:p>
            <w:pPr>
              <w:pStyle w:val="Compact"/>
            </w:pPr>
            <w:r>
              <w:t xml:space="preserve">-0.0062*</w:t>
            </w:r>
          </w:p>
        </w:tc>
      </w:tr>
      <w:tr>
        <w:tc>
          <w:tcPr/>
          <w:p>
            <w:pPr>
              <w:pStyle w:val="Compact"/>
            </w:pPr>
          </w:p>
        </w:tc>
        <w:tc>
          <w:tcPr/>
          <w:p>
            <w:pPr>
              <w:pStyle w:val="Compact"/>
            </w:pPr>
            <w:r>
              <w:t xml:space="preserve">(0.0030)</w:t>
            </w:r>
          </w:p>
        </w:tc>
        <w:tc>
          <w:tcPr/>
          <w:p>
            <w:pPr>
              <w:pStyle w:val="Compact"/>
            </w:pPr>
            <w:r>
              <w:t xml:space="preserve">(0.0028)</w:t>
            </w:r>
          </w:p>
        </w:tc>
        <w:tc>
          <w:tcPr/>
          <w:p>
            <w:pPr>
              <w:pStyle w:val="Compact"/>
            </w:pPr>
            <w:r>
              <w:t xml:space="preserve">(0.0036)</w:t>
            </w:r>
          </w:p>
        </w:tc>
      </w:tr>
      <w:tr>
        <w:tc>
          <w:tcPr/>
          <w:p>
            <w:pPr>
              <w:pStyle w:val="Compact"/>
            </w:pPr>
            <w:r>
              <w:t xml:space="preserve">Num.Obs.</w:t>
            </w:r>
          </w:p>
        </w:tc>
        <w:tc>
          <w:tcPr/>
          <w:p>
            <w:pPr>
              <w:pStyle w:val="Compact"/>
            </w:pPr>
            <w:r>
              <w:t xml:space="preserve">3120</w:t>
            </w:r>
          </w:p>
        </w:tc>
        <w:tc>
          <w:tcPr/>
          <w:p>
            <w:pPr>
              <w:pStyle w:val="Compact"/>
            </w:pPr>
            <w:r>
              <w:t xml:space="preserve">3120</w:t>
            </w:r>
          </w:p>
        </w:tc>
        <w:tc>
          <w:tcPr/>
          <w:p>
            <w:pPr>
              <w:pStyle w:val="Compact"/>
            </w:pPr>
            <w:r>
              <w:t xml:space="preserve">3120</w:t>
            </w:r>
          </w:p>
        </w:tc>
      </w:tr>
      <w:tr>
        <w:tc>
          <w:tcPr/>
          <w:p>
            <w:pPr>
              <w:pStyle w:val="Compact"/>
            </w:pPr>
            <w:r>
              <w:t xml:space="preserve">R2</w:t>
            </w:r>
          </w:p>
        </w:tc>
        <w:tc>
          <w:tcPr/>
          <w:p>
            <w:pPr>
              <w:pStyle w:val="Compact"/>
            </w:pPr>
            <w:r>
              <w:t xml:space="preserve">0.999</w:t>
            </w:r>
          </w:p>
        </w:tc>
        <w:tc>
          <w:tcPr/>
          <w:p>
            <w:pPr>
              <w:pStyle w:val="Compact"/>
            </w:pPr>
            <w:r>
              <w:t xml:space="preserve">0.999</w:t>
            </w:r>
          </w:p>
        </w:tc>
        <w:tc>
          <w:tcPr/>
          <w:p>
            <w:pPr>
              <w:pStyle w:val="Compact"/>
            </w:pPr>
            <w:r>
              <w:t xml:space="preserve">0.998</w:t>
            </w:r>
          </w:p>
        </w:tc>
      </w:tr>
      <w:tr>
        <w:tc>
          <w:tcPr/>
          <w:p>
            <w:pPr>
              <w:pStyle w:val="Compact"/>
            </w:pPr>
            <w:r>
              <w:t xml:space="preserve">R2 Adj.</w:t>
            </w:r>
          </w:p>
        </w:tc>
        <w:tc>
          <w:tcPr/>
          <w:p>
            <w:pPr>
              <w:pStyle w:val="Compact"/>
            </w:pPr>
            <w:r>
              <w:t xml:space="preserve">0.998</w:t>
            </w:r>
          </w:p>
        </w:tc>
        <w:tc>
          <w:tcPr/>
          <w:p>
            <w:pPr>
              <w:pStyle w:val="Compact"/>
            </w:pPr>
            <w:r>
              <w:t xml:space="preserve">0.999</w:t>
            </w:r>
          </w:p>
        </w:tc>
        <w:tc>
          <w:tcPr/>
          <w:p>
            <w:pPr>
              <w:pStyle w:val="Compact"/>
            </w:pPr>
            <w:r>
              <w:t xml:space="preserve">0.997</w:t>
            </w:r>
          </w:p>
        </w:tc>
      </w:tr>
      <w:tr>
        <w:tc>
          <w:tcPr/>
          <w:p>
            <w:pPr>
              <w:pStyle w:val="Compact"/>
            </w:pPr>
            <w:r>
              <w:t xml:space="preserve">R2 Within</w:t>
            </w:r>
          </w:p>
        </w:tc>
        <w:tc>
          <w:tcPr/>
          <w:p>
            <w:pPr>
              <w:pStyle w:val="Compact"/>
            </w:pPr>
            <w:r>
              <w:t xml:space="preserve">0.106</w:t>
            </w:r>
          </w:p>
        </w:tc>
        <w:tc>
          <w:tcPr/>
          <w:p>
            <w:pPr>
              <w:pStyle w:val="Compact"/>
            </w:pPr>
            <w:r>
              <w:t xml:space="preserve">0.205</w:t>
            </w:r>
          </w:p>
        </w:tc>
        <w:tc>
          <w:tcPr/>
          <w:p>
            <w:pPr>
              <w:pStyle w:val="Compact"/>
            </w:pPr>
            <w:r>
              <w:t xml:space="preserve">0.221</w:t>
            </w:r>
          </w:p>
        </w:tc>
      </w:tr>
      <w:tr>
        <w:tc>
          <w:tcPr/>
          <w:p>
            <w:pPr>
              <w:pStyle w:val="Compact"/>
            </w:pPr>
            <w:r>
              <w:t xml:space="preserve">R2 Within Adj.</w:t>
            </w:r>
          </w:p>
        </w:tc>
        <w:tc>
          <w:tcPr/>
          <w:p>
            <w:pPr>
              <w:pStyle w:val="Compact"/>
            </w:pPr>
            <w:r>
              <w:t xml:space="preserve">0.104</w:t>
            </w:r>
          </w:p>
        </w:tc>
        <w:tc>
          <w:tcPr/>
          <w:p>
            <w:pPr>
              <w:pStyle w:val="Compact"/>
            </w:pPr>
            <w:r>
              <w:t xml:space="preserve">0.203</w:t>
            </w:r>
          </w:p>
        </w:tc>
        <w:tc>
          <w:tcPr/>
          <w:p>
            <w:pPr>
              <w:pStyle w:val="Compact"/>
            </w:pPr>
            <w:r>
              <w:t xml:space="preserve">0.219</w:t>
            </w:r>
          </w:p>
        </w:tc>
      </w:tr>
      <w:tr>
        <w:tc>
          <w:tcPr/>
          <w:p>
            <w:pPr>
              <w:pStyle w:val="Compact"/>
            </w:pPr>
            <w:r>
              <w:t xml:space="preserve">FE: pair_id</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FE: year</w:t>
            </w:r>
          </w:p>
        </w:tc>
        <w:tc>
          <w:tcPr/>
          <w:p>
            <w:pPr>
              <w:pStyle w:val="Compact"/>
            </w:pPr>
            <w:r>
              <w:t xml:space="preserve">X</w:t>
            </w:r>
          </w:p>
        </w:tc>
        <w:tc>
          <w:tcPr/>
          <w:p>
            <w:pPr>
              <w:pStyle w:val="Compact"/>
            </w:pPr>
            <w:r>
              <w:t xml:space="preserve">X</w:t>
            </w:r>
          </w:p>
        </w:tc>
        <w:tc>
          <w:tcPr/>
          <w:p>
            <w:pPr>
              <w:pStyle w:val="Compact"/>
            </w:pPr>
            <w:r>
              <w:t xml:space="preserve">X</w:t>
            </w:r>
          </w:p>
        </w:tc>
      </w:tr>
      <w:tr>
        <w:tc>
          <w:tcPr>
            <w:gridSpan w:val="4"/>
          </w:tcPr>
          <w:p>
            <w:pPr>
              <w:pStyle w:val="Compact"/>
              <w:numPr>
                <w:ilvl w:val="0"/>
                <w:numId w:val="1004"/>
              </w:numPr>
            </w:pPr>
            <w:r>
              <w:t xml:space="preserve">p &lt; 0.1, ** p &lt; 0.05, *** p &lt; 0.01</w:t>
            </w:r>
          </w:p>
        </w:tc>
      </w:tr>
      <w:tr>
        <w:tc>
          <w:tcPr>
            <w:gridSpan w:val="4"/>
          </w:tcPr>
          <w:p>
            <w:pPr>
              <w:pStyle w:val="Compact"/>
            </w:pPr>
            <w:r>
              <w:t xml:space="preserve">Dependent variables: (a) ln(Total employment); (b) ln(Average wage); (c) ln(Value added).</w:t>
            </w:r>
          </w:p>
        </w:tc>
      </w:tr>
      <w:tr>
        <w:tc>
          <w:tcPr>
            <w:gridSpan w:val="4"/>
          </w:tcPr>
          <w:p>
            <w:pPr>
              <w:pStyle w:val="Compact"/>
            </w:pPr>
            <w:r>
              <w:t xml:space="preserve">Same FE-IV specification and instrument (AIPI_bartik) as Book Table 3, col (3).</w:t>
            </w:r>
          </w:p>
        </w:tc>
      </w:tr>
      <w:tr>
        <w:tc>
          <w:tcPr>
            <w:gridSpan w:val="4"/>
          </w:tcPr>
          <w:p>
            <w:pPr>
              <w:pStyle w:val="Compact"/>
            </w:pPr>
            <w:r>
              <w:t xml:space="preserve">Identity: ln(labor share) = ln(avg. wage) + ln(employment) - ln(value added).</w:t>
            </w:r>
          </w:p>
        </w:tc>
      </w:tr>
      <w:tr>
        <w:tc>
          <w:tcPr>
            <w:gridSpan w:val="4"/>
          </w:tcPr>
          <w:p>
            <w:pPr>
              <w:pStyle w:val="Compact"/>
            </w:pPr>
            <w:r>
              <w:t xml:space="preserve">SE clustered at pair level. * p&lt;0.10, ** p&lt;0.05, *** p&lt;0.01. Alpha = 0.10.</w:t>
            </w:r>
          </w:p>
        </w:tc>
      </w:tr>
    </w:tbl>
    <w:tbl>
      <w:tblPr>
        <w:tblStyle w:val="Table"/>
        <w:tblW w:type="pct" w:w="4924"/>
        <w:tblLayout w:type="fixed"/>
        <w:tblLook w:firstRow="1" w:lastRow="1" w:firstColumn="0" w:lastColumn="0" w:noHBand="0" w:noVBand="0" w:val="0020"/>
        <w:tblCaption w:val="Book Table 5. Instrument Validity and Subsample Robustness (OECD Panel)"/>
      </w:tblPr>
      <w:tblGrid>
        <w:gridCol w:w="3240"/>
        <w:gridCol w:w="2100"/>
        <w:gridCol w:w="1260"/>
        <w:gridCol w:w="1200"/>
      </w:tblGrid>
      <w:tr>
        <w:trPr>
          <w:tblHeader w:val="on"/>
        </w:trPr>
        <w:tc>
          <w:tcPr/>
          <w:p>
            <w:pPr>
              <w:pStyle w:val="Compact"/>
            </w:pPr>
          </w:p>
        </w:tc>
        <w:tc>
          <w:tcPr/>
          <w:p>
            <w:pPr>
              <w:pStyle w:val="Compact"/>
            </w:pPr>
            <w:r>
              <w:t xml:space="preserve">First stage (AIPI ~ AIPI_bartik)</w:t>
            </w:r>
          </w:p>
        </w:tc>
        <w:tc>
          <w:tcPr/>
          <w:p>
            <w:pPr>
              <w:pStyle w:val="Compact"/>
            </w:pPr>
            <w:r>
              <w:t xml:space="preserve">(R1a) High-capital</w:t>
            </w:r>
          </w:p>
        </w:tc>
        <w:tc>
          <w:tcPr/>
          <w:p>
            <w:pPr>
              <w:pStyle w:val="Compact"/>
            </w:pPr>
            <w:r>
              <w:t xml:space="preserve">(R1b) Low-capital</w:t>
            </w:r>
          </w:p>
        </w:tc>
      </w:tr>
      <w:tr>
        <w:tc>
          <w:tcPr/>
          <w:p>
            <w:pPr>
              <w:pStyle w:val="Compact"/>
            </w:pPr>
            <w:r>
              <w:t xml:space="preserve">AIPI_bartik [instrument]</w:t>
            </w:r>
          </w:p>
        </w:tc>
        <w:tc>
          <w:tcPr/>
          <w:p>
            <w:pPr>
              <w:pStyle w:val="Compact"/>
            </w:pPr>
            <w:r>
              <w:t xml:space="preserve">0.7316***</w:t>
            </w:r>
          </w:p>
        </w:tc>
        <w:tc>
          <w:tcPr/>
          <w:p>
            <w:pPr>
              <w:pStyle w:val="Compact"/>
            </w:pPr>
          </w:p>
        </w:tc>
        <w:tc>
          <w:tcPr/>
          <w:p>
            <w:pPr>
              <w:pStyle w:val="Compact"/>
            </w:pPr>
          </w:p>
        </w:tc>
      </w:tr>
      <w:tr>
        <w:tc>
          <w:tcPr/>
          <w:p>
            <w:pPr>
              <w:pStyle w:val="Compact"/>
            </w:pPr>
          </w:p>
        </w:tc>
        <w:tc>
          <w:tcPr/>
          <w:p>
            <w:pPr>
              <w:pStyle w:val="Compact"/>
            </w:pPr>
            <w:r>
              <w:t xml:space="preserve">(0.0402)</w:t>
            </w:r>
          </w:p>
        </w:tc>
        <w:tc>
          <w:tcPr/>
          <w:p>
            <w:pPr>
              <w:pStyle w:val="Compact"/>
            </w:pPr>
          </w:p>
        </w:tc>
        <w:tc>
          <w:tcPr/>
          <w:p>
            <w:pPr>
              <w:pStyle w:val="Compact"/>
            </w:pPr>
          </w:p>
        </w:tc>
      </w:tr>
      <w:tr>
        <w:tc>
          <w:tcPr/>
          <w:p>
            <w:pPr>
              <w:pStyle w:val="Compact"/>
            </w:pPr>
            <w:r>
              <w:t xml:space="preserve">AI Patent Intensity (ln, IV)</w:t>
            </w:r>
          </w:p>
        </w:tc>
        <w:tc>
          <w:tcPr/>
          <w:p>
            <w:pPr>
              <w:pStyle w:val="Compact"/>
            </w:pPr>
          </w:p>
        </w:tc>
        <w:tc>
          <w:tcPr/>
          <w:p>
            <w:pPr>
              <w:pStyle w:val="Compact"/>
            </w:pPr>
            <w:r>
              <w:t xml:space="preserve">-0.0133</w:t>
            </w:r>
          </w:p>
        </w:tc>
        <w:tc>
          <w:tcPr/>
          <w:p>
            <w:pPr>
              <w:pStyle w:val="Compact"/>
            </w:pPr>
            <w:r>
              <w:t xml:space="preserve">0.0365</w:t>
            </w:r>
          </w:p>
        </w:tc>
      </w:tr>
      <w:tr>
        <w:tc>
          <w:tcPr/>
          <w:p>
            <w:pPr>
              <w:pStyle w:val="Compact"/>
            </w:pPr>
          </w:p>
        </w:tc>
        <w:tc>
          <w:tcPr/>
          <w:p>
            <w:pPr>
              <w:pStyle w:val="Compact"/>
            </w:pPr>
          </w:p>
        </w:tc>
        <w:tc>
          <w:tcPr/>
          <w:p>
            <w:pPr>
              <w:pStyle w:val="Compact"/>
            </w:pPr>
            <w:r>
              <w:t xml:space="preserve">(0.0341)</w:t>
            </w:r>
          </w:p>
        </w:tc>
        <w:tc>
          <w:tcPr/>
          <w:p>
            <w:pPr>
              <w:pStyle w:val="Compact"/>
            </w:pPr>
            <w:r>
              <w:t xml:space="preserve">(0.0336)</w:t>
            </w:r>
          </w:p>
        </w:tc>
      </w:tr>
      <w:tr>
        <w:tc>
          <w:tcPr/>
          <w:p>
            <w:pPr>
              <w:pStyle w:val="Compact"/>
            </w:pPr>
            <w:r>
              <w:t xml:space="preserve">GDP per capita (ln, constant 2015 USD)</w:t>
            </w:r>
          </w:p>
        </w:tc>
        <w:tc>
          <w:tcPr/>
          <w:p>
            <w:pPr>
              <w:pStyle w:val="Compact"/>
            </w:pPr>
            <w:r>
              <w:t xml:space="preserve">-0.2645</w:t>
            </w:r>
          </w:p>
        </w:tc>
        <w:tc>
          <w:tcPr/>
          <w:p>
            <w:pPr>
              <w:pStyle w:val="Compact"/>
            </w:pPr>
            <w:r>
              <w:t xml:space="preserve">-0.1335</w:t>
            </w:r>
          </w:p>
        </w:tc>
        <w:tc>
          <w:tcPr/>
          <w:p>
            <w:pPr>
              <w:pStyle w:val="Compact"/>
            </w:pPr>
            <w:r>
              <w:t xml:space="preserve">-0.2447</w:t>
            </w:r>
          </w:p>
        </w:tc>
      </w:tr>
      <w:tr>
        <w:tc>
          <w:tcPr/>
          <w:p>
            <w:pPr>
              <w:pStyle w:val="Compact"/>
            </w:pPr>
          </w:p>
        </w:tc>
        <w:tc>
          <w:tcPr/>
          <w:p>
            <w:pPr>
              <w:pStyle w:val="Compact"/>
            </w:pPr>
            <w:r>
              <w:t xml:space="preserve">(0.1925)</w:t>
            </w:r>
          </w:p>
        </w:tc>
        <w:tc>
          <w:tcPr/>
          <w:p>
            <w:pPr>
              <w:pStyle w:val="Compact"/>
            </w:pPr>
            <w:r>
              <w:t xml:space="preserve">(0.1497)</w:t>
            </w:r>
          </w:p>
        </w:tc>
        <w:tc>
          <w:tcPr/>
          <w:p>
            <w:pPr>
              <w:pStyle w:val="Compact"/>
            </w:pPr>
            <w:r>
              <w:t xml:space="preserve">(0.1803)</w:t>
            </w:r>
          </w:p>
        </w:tc>
      </w:tr>
      <w:tr>
        <w:tc>
          <w:tcPr/>
          <w:p>
            <w:pPr>
              <w:pStyle w:val="Compact"/>
            </w:pPr>
            <w:r>
              <w:t xml:space="preserve">Renewable energy (% total final energy consumption)</w:t>
            </w:r>
          </w:p>
        </w:tc>
        <w:tc>
          <w:tcPr/>
          <w:p>
            <w:pPr>
              <w:pStyle w:val="Compact"/>
            </w:pPr>
            <w:r>
              <w:t xml:space="preserve">-0.0043</w:t>
            </w:r>
          </w:p>
        </w:tc>
        <w:tc>
          <w:tcPr/>
          <w:p>
            <w:pPr>
              <w:pStyle w:val="Compact"/>
            </w:pPr>
            <w:r>
              <w:t xml:space="preserve">0.0000</w:t>
            </w:r>
          </w:p>
        </w:tc>
        <w:tc>
          <w:tcPr/>
          <w:p>
            <w:pPr>
              <w:pStyle w:val="Compact"/>
            </w:pPr>
            <w:r>
              <w:t xml:space="preserve">0.0026</w:t>
            </w:r>
          </w:p>
        </w:tc>
      </w:tr>
      <w:tr>
        <w:tc>
          <w:tcPr/>
          <w:p>
            <w:pPr>
              <w:pStyle w:val="Compact"/>
            </w:pPr>
          </w:p>
        </w:tc>
        <w:tc>
          <w:tcPr/>
          <w:p>
            <w:pPr>
              <w:pStyle w:val="Compact"/>
            </w:pPr>
            <w:r>
              <w:t xml:space="preserve">(0.0064)</w:t>
            </w:r>
          </w:p>
        </w:tc>
        <w:tc>
          <w:tcPr/>
          <w:p>
            <w:pPr>
              <w:pStyle w:val="Compact"/>
            </w:pPr>
            <w:r>
              <w:t xml:space="preserve">(0.0038)</w:t>
            </w:r>
          </w:p>
        </w:tc>
        <w:tc>
          <w:tcPr/>
          <w:p>
            <w:pPr>
              <w:pStyle w:val="Compact"/>
            </w:pPr>
            <w:r>
              <w:t xml:space="preserve">(0.0044)</w:t>
            </w:r>
          </w:p>
        </w:tc>
      </w:tr>
      <w:tr>
        <w:tc>
          <w:tcPr/>
          <w:p>
            <w:pPr>
              <w:pStyle w:val="Compact"/>
            </w:pPr>
            <w:r>
              <w:t xml:space="preserve">Capital formation / Value added</w:t>
            </w:r>
          </w:p>
        </w:tc>
        <w:tc>
          <w:tcPr/>
          <w:p>
            <w:pPr>
              <w:pStyle w:val="Compact"/>
            </w:pPr>
            <w:r>
              <w:t xml:space="preserve">0.2144**</w:t>
            </w:r>
          </w:p>
        </w:tc>
        <w:tc>
          <w:tcPr/>
          <w:p>
            <w:pPr>
              <w:pStyle w:val="Compact"/>
            </w:pPr>
            <w:r>
              <w:t xml:space="preserve">0.6164***</w:t>
            </w:r>
          </w:p>
        </w:tc>
        <w:tc>
          <w:tcPr/>
          <w:p>
            <w:pPr>
              <w:pStyle w:val="Compact"/>
            </w:pPr>
            <w:r>
              <w:t xml:space="preserve">0.3978</w:t>
            </w:r>
          </w:p>
        </w:tc>
      </w:tr>
      <w:tr>
        <w:tc>
          <w:tcPr/>
          <w:p>
            <w:pPr>
              <w:pStyle w:val="Compact"/>
            </w:pPr>
          </w:p>
        </w:tc>
        <w:tc>
          <w:tcPr/>
          <w:p>
            <w:pPr>
              <w:pStyle w:val="Compact"/>
            </w:pPr>
            <w:r>
              <w:t xml:space="preserve">(0.0968)</w:t>
            </w:r>
          </w:p>
        </w:tc>
        <w:tc>
          <w:tcPr/>
          <w:p>
            <w:pPr>
              <w:pStyle w:val="Compact"/>
            </w:pPr>
            <w:r>
              <w:t xml:space="preserve">(0.1449)</w:t>
            </w:r>
          </w:p>
        </w:tc>
        <w:tc>
          <w:tcPr/>
          <w:p>
            <w:pPr>
              <w:pStyle w:val="Compact"/>
            </w:pPr>
            <w:r>
              <w:t xml:space="preserve">(0.2520)</w:t>
            </w:r>
          </w:p>
        </w:tc>
      </w:tr>
      <w:tr>
        <w:tc>
          <w:tcPr/>
          <w:p>
            <w:pPr>
              <w:pStyle w:val="Compact"/>
            </w:pPr>
            <w:r>
              <w:t xml:space="preserve">R&amp;D expenditure (% of GDP)</w:t>
            </w:r>
          </w:p>
        </w:tc>
        <w:tc>
          <w:tcPr/>
          <w:p>
            <w:pPr>
              <w:pStyle w:val="Compact"/>
            </w:pPr>
            <w:r>
              <w:t xml:space="preserve">0.2055***</w:t>
            </w:r>
          </w:p>
        </w:tc>
        <w:tc>
          <w:tcPr/>
          <w:p>
            <w:pPr>
              <w:pStyle w:val="Compact"/>
            </w:pPr>
            <w:r>
              <w:t xml:space="preserve">0.0460</w:t>
            </w:r>
          </w:p>
        </w:tc>
        <w:tc>
          <w:tcPr/>
          <w:p>
            <w:pPr>
              <w:pStyle w:val="Compact"/>
            </w:pPr>
            <w:r>
              <w:t xml:space="preserve">0.0255</w:t>
            </w:r>
          </w:p>
        </w:tc>
      </w:tr>
      <w:tr>
        <w:tc>
          <w:tcPr/>
          <w:p>
            <w:pPr>
              <w:pStyle w:val="Compact"/>
            </w:pPr>
          </w:p>
        </w:tc>
        <w:tc>
          <w:tcPr/>
          <w:p>
            <w:pPr>
              <w:pStyle w:val="Compact"/>
            </w:pPr>
            <w:r>
              <w:t xml:space="preserve">(0.0444)</w:t>
            </w:r>
          </w:p>
        </w:tc>
        <w:tc>
          <w:tcPr/>
          <w:p>
            <w:pPr>
              <w:pStyle w:val="Compact"/>
            </w:pPr>
            <w:r>
              <w:t xml:space="preserve">(0.0306)</w:t>
            </w:r>
          </w:p>
        </w:tc>
        <w:tc>
          <w:tcPr/>
          <w:p>
            <w:pPr>
              <w:pStyle w:val="Compact"/>
            </w:pPr>
            <w:r>
              <w:t xml:space="preserve">(0.0275)</w:t>
            </w:r>
          </w:p>
        </w:tc>
      </w:tr>
      <w:tr>
        <w:tc>
          <w:tcPr/>
          <w:p>
            <w:pPr>
              <w:pStyle w:val="Compact"/>
            </w:pPr>
            <w:r>
              <w:t xml:space="preserve">Trade openness (% of GDP)</w:t>
            </w:r>
          </w:p>
        </w:tc>
        <w:tc>
          <w:tcPr/>
          <w:p>
            <w:pPr>
              <w:pStyle w:val="Compact"/>
            </w:pPr>
            <w:r>
              <w:t xml:space="preserve">-0.0037**</w:t>
            </w:r>
          </w:p>
        </w:tc>
        <w:tc>
          <w:tcPr/>
          <w:p>
            <w:pPr>
              <w:pStyle w:val="Compact"/>
            </w:pPr>
            <w:r>
              <w:t xml:space="preserve">-0.0004</w:t>
            </w:r>
          </w:p>
        </w:tc>
        <w:tc>
          <w:tcPr/>
          <w:p>
            <w:pPr>
              <w:pStyle w:val="Compact"/>
            </w:pPr>
            <w:r>
              <w:t xml:space="preserve">-0.0015</w:t>
            </w:r>
          </w:p>
        </w:tc>
      </w:tr>
      <w:tr>
        <w:tc>
          <w:tcPr/>
          <w:p>
            <w:pPr>
              <w:pStyle w:val="Compact"/>
            </w:pPr>
          </w:p>
        </w:tc>
        <w:tc>
          <w:tcPr/>
          <w:p>
            <w:pPr>
              <w:pStyle w:val="Compact"/>
            </w:pPr>
            <w:r>
              <w:t xml:space="preserve">(0.0014)</w:t>
            </w:r>
          </w:p>
        </w:tc>
        <w:tc>
          <w:tcPr/>
          <w:p>
            <w:pPr>
              <w:pStyle w:val="Compact"/>
            </w:pPr>
            <w:r>
              <w:t xml:space="preserve">(0.0011)</w:t>
            </w:r>
          </w:p>
        </w:tc>
        <w:tc>
          <w:tcPr/>
          <w:p>
            <w:pPr>
              <w:pStyle w:val="Compact"/>
            </w:pPr>
            <w:r>
              <w:t xml:space="preserve">(0.0011)</w:t>
            </w:r>
          </w:p>
        </w:tc>
      </w:tr>
      <w:tr>
        <w:tc>
          <w:tcPr/>
          <w:p>
            <w:pPr>
              <w:pStyle w:val="Compact"/>
            </w:pPr>
            <w:r>
              <w:t xml:space="preserve">Fixed broadband subscriptions (per 100 people)</w:t>
            </w:r>
          </w:p>
        </w:tc>
        <w:tc>
          <w:tcPr/>
          <w:p>
            <w:pPr>
              <w:pStyle w:val="Compact"/>
            </w:pPr>
            <w:r>
              <w:t xml:space="preserve">-0.0359***</w:t>
            </w:r>
          </w:p>
        </w:tc>
        <w:tc>
          <w:tcPr/>
          <w:p>
            <w:pPr>
              <w:pStyle w:val="Compact"/>
            </w:pPr>
            <w:r>
              <w:t xml:space="preserve">0.0033</w:t>
            </w:r>
          </w:p>
        </w:tc>
        <w:tc>
          <w:tcPr/>
          <w:p>
            <w:pPr>
              <w:pStyle w:val="Compact"/>
            </w:pPr>
            <w:r>
              <w:t xml:space="preserve">0.0024</w:t>
            </w:r>
          </w:p>
        </w:tc>
      </w:tr>
      <w:tr>
        <w:tc>
          <w:tcPr/>
          <w:p>
            <w:pPr>
              <w:pStyle w:val="Compact"/>
            </w:pPr>
          </w:p>
        </w:tc>
        <w:tc>
          <w:tcPr/>
          <w:p>
            <w:pPr>
              <w:pStyle w:val="Compact"/>
            </w:pPr>
            <w:r>
              <w:t xml:space="preserve">(0.0078)</w:t>
            </w:r>
          </w:p>
        </w:tc>
        <w:tc>
          <w:tcPr/>
          <w:p>
            <w:pPr>
              <w:pStyle w:val="Compact"/>
            </w:pPr>
            <w:r>
              <w:t xml:space="preserve">(0.0042)</w:t>
            </w:r>
          </w:p>
        </w:tc>
        <w:tc>
          <w:tcPr/>
          <w:p>
            <w:pPr>
              <w:pStyle w:val="Compact"/>
            </w:pPr>
            <w:r>
              <w:t xml:space="preserve">(0.0045)</w:t>
            </w:r>
          </w:p>
        </w:tc>
      </w:tr>
      <w:tr>
        <w:tc>
          <w:tcPr/>
          <w:p>
            <w:pPr>
              <w:pStyle w:val="Compact"/>
            </w:pPr>
            <w:r>
              <w:t xml:space="preserve">Num.Obs.</w:t>
            </w:r>
          </w:p>
        </w:tc>
        <w:tc>
          <w:tcPr/>
          <w:p>
            <w:pPr>
              <w:pStyle w:val="Compact"/>
            </w:pPr>
            <w:r>
              <w:t xml:space="preserve">3120</w:t>
            </w:r>
          </w:p>
        </w:tc>
        <w:tc>
          <w:tcPr/>
          <w:p>
            <w:pPr>
              <w:pStyle w:val="Compact"/>
            </w:pPr>
            <w:r>
              <w:t xml:space="preserve">1549</w:t>
            </w:r>
          </w:p>
        </w:tc>
        <w:tc>
          <w:tcPr/>
          <w:p>
            <w:pPr>
              <w:pStyle w:val="Compact"/>
            </w:pPr>
            <w:r>
              <w:t xml:space="preserve">1553</w:t>
            </w:r>
          </w:p>
        </w:tc>
      </w:tr>
      <w:tr>
        <w:tc>
          <w:tcPr/>
          <w:p>
            <w:pPr>
              <w:pStyle w:val="Compact"/>
            </w:pPr>
            <w:r>
              <w:t xml:space="preserve">R2</w:t>
            </w:r>
          </w:p>
        </w:tc>
        <w:tc>
          <w:tcPr/>
          <w:p>
            <w:pPr>
              <w:pStyle w:val="Compact"/>
            </w:pPr>
            <w:r>
              <w:t xml:space="preserve">0.966</w:t>
            </w:r>
          </w:p>
        </w:tc>
        <w:tc>
          <w:tcPr/>
          <w:p>
            <w:pPr>
              <w:pStyle w:val="Compact"/>
            </w:pPr>
            <w:r>
              <w:t xml:space="preserve">0.927</w:t>
            </w:r>
          </w:p>
        </w:tc>
        <w:tc>
          <w:tcPr/>
          <w:p>
            <w:pPr>
              <w:pStyle w:val="Compact"/>
            </w:pPr>
            <w:r>
              <w:t xml:space="preserve">0.941</w:t>
            </w:r>
          </w:p>
        </w:tc>
      </w:tr>
      <w:tr>
        <w:tc>
          <w:tcPr/>
          <w:p>
            <w:pPr>
              <w:pStyle w:val="Compact"/>
            </w:pPr>
            <w:r>
              <w:t xml:space="preserve">R2 Adj.</w:t>
            </w:r>
          </w:p>
        </w:tc>
        <w:tc>
          <w:tcPr/>
          <w:p>
            <w:pPr>
              <w:pStyle w:val="Compact"/>
            </w:pPr>
            <w:r>
              <w:t xml:space="preserve">0.963</w:t>
            </w:r>
          </w:p>
        </w:tc>
        <w:tc>
          <w:tcPr/>
          <w:p>
            <w:pPr>
              <w:pStyle w:val="Compact"/>
            </w:pPr>
            <w:r>
              <w:t xml:space="preserve">0.918</w:t>
            </w:r>
          </w:p>
        </w:tc>
        <w:tc>
          <w:tcPr/>
          <w:p>
            <w:pPr>
              <w:pStyle w:val="Compact"/>
            </w:pPr>
            <w:r>
              <w:t xml:space="preserve">0.933</w:t>
            </w:r>
          </w:p>
        </w:tc>
      </w:tr>
      <w:tr>
        <w:tc>
          <w:tcPr/>
          <w:p>
            <w:pPr>
              <w:pStyle w:val="Compact"/>
            </w:pPr>
            <w:r>
              <w:t xml:space="preserve">R2 Within</w:t>
            </w:r>
          </w:p>
        </w:tc>
        <w:tc>
          <w:tcPr/>
          <w:p>
            <w:pPr>
              <w:pStyle w:val="Compact"/>
            </w:pPr>
            <w:r>
              <w:t xml:space="preserve">0.397</w:t>
            </w:r>
          </w:p>
        </w:tc>
        <w:tc>
          <w:tcPr/>
          <w:p>
            <w:pPr>
              <w:pStyle w:val="Compact"/>
            </w:pPr>
            <w:r>
              <w:t xml:space="preserve">0.184</w:t>
            </w:r>
          </w:p>
        </w:tc>
        <w:tc>
          <w:tcPr/>
          <w:p>
            <w:pPr>
              <w:pStyle w:val="Compact"/>
            </w:pPr>
            <w:r>
              <w:t xml:space="preserve">0.054</w:t>
            </w:r>
          </w:p>
        </w:tc>
      </w:tr>
      <w:tr>
        <w:tc>
          <w:tcPr/>
          <w:p>
            <w:pPr>
              <w:pStyle w:val="Compact"/>
            </w:pPr>
            <w:r>
              <w:t xml:space="preserve">R2 Within Adj.</w:t>
            </w:r>
          </w:p>
        </w:tc>
        <w:tc>
          <w:tcPr/>
          <w:p>
            <w:pPr>
              <w:pStyle w:val="Compact"/>
            </w:pPr>
            <w:r>
              <w:t xml:space="preserve">0.396</w:t>
            </w:r>
          </w:p>
        </w:tc>
        <w:tc>
          <w:tcPr/>
          <w:p>
            <w:pPr>
              <w:pStyle w:val="Compact"/>
            </w:pPr>
            <w:r>
              <w:t xml:space="preserve">0.179</w:t>
            </w:r>
          </w:p>
        </w:tc>
        <w:tc>
          <w:tcPr/>
          <w:p>
            <w:pPr>
              <w:pStyle w:val="Compact"/>
            </w:pPr>
            <w:r>
              <w:t xml:space="preserve">0.049</w:t>
            </w:r>
          </w:p>
        </w:tc>
      </w:tr>
      <w:tr>
        <w:tc>
          <w:tcPr/>
          <w:p>
            <w:pPr>
              <w:pStyle w:val="Compact"/>
            </w:pPr>
            <w:r>
              <w:t xml:space="preserve">FE: pair_id</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FE: year</w:t>
            </w:r>
          </w:p>
        </w:tc>
        <w:tc>
          <w:tcPr/>
          <w:p>
            <w:pPr>
              <w:pStyle w:val="Compact"/>
            </w:pPr>
            <w:r>
              <w:t xml:space="preserve">X</w:t>
            </w:r>
          </w:p>
        </w:tc>
        <w:tc>
          <w:tcPr/>
          <w:p>
            <w:pPr>
              <w:pStyle w:val="Compact"/>
            </w:pPr>
            <w:r>
              <w:t xml:space="preserve">X</w:t>
            </w:r>
          </w:p>
        </w:tc>
        <w:tc>
          <w:tcPr/>
          <w:p>
            <w:pPr>
              <w:pStyle w:val="Compact"/>
            </w:pPr>
            <w:r>
              <w:t xml:space="preserve">X</w:t>
            </w:r>
          </w:p>
        </w:tc>
      </w:tr>
      <w:tr>
        <w:tc>
          <w:tcPr>
            <w:gridSpan w:val="4"/>
          </w:tcPr>
          <w:p>
            <w:pPr>
              <w:pStyle w:val="Compact"/>
              <w:numPr>
                <w:ilvl w:val="0"/>
                <w:numId w:val="1001"/>
              </w:numPr>
            </w:pPr>
            <w:r>
              <w:t xml:space="preserve">p &lt; 0.1, ** p &lt; 0.05, *** p &lt; 0.01</w:t>
            </w:r>
          </w:p>
        </w:tc>
      </w:tr>
      <w:tr>
        <w:tc>
          <w:tcPr>
            <w:gridSpan w:val="4"/>
          </w:tcPr>
          <w:p>
            <w:pPr>
              <w:pStyle w:val="Compact"/>
            </w:pPr>
            <w:r>
              <w:t xml:space="preserve">First stage: DV = AIPI; instrument = AIPI_bartik (Bartik shift-share, other 24 OECD countries).</w:t>
            </w:r>
          </w:p>
        </w:tc>
      </w:tr>
      <w:tr>
        <w:tc>
          <w:tcPr>
            <w:gridSpan w:val="4"/>
          </w:tcPr>
          <w:p>
            <w:pPr>
              <w:pStyle w:val="Compact"/>
            </w:pPr>
            <w:r>
              <w:t xml:space="preserve">R1: FE-IV on high-capital (HighCapital=1) vs low-capital (HighCapital=0) subsamples,</w:t>
            </w:r>
          </w:p>
        </w:tc>
      </w:tr>
      <w:tr>
        <w:tc>
          <w:tcPr>
            <w:gridSpan w:val="4"/>
          </w:tcPr>
          <w:p>
            <w:pPr>
              <w:pStyle w:val="Compact"/>
            </w:pPr>
            <w:r>
              <w:t xml:space="preserve">country-specific median threshold.</w:t>
            </w:r>
          </w:p>
        </w:tc>
      </w:tr>
      <w:tr>
        <w:tc>
          <w:tcPr>
            <w:gridSpan w:val="4"/>
          </w:tcPr>
          <w:p>
            <w:pPr>
              <w:pStyle w:val="Compact"/>
            </w:pPr>
            <w:r>
              <w:t xml:space="preserve">SE clustered at pair level. * p&lt;0.10, ** p&lt;0.05, *** p&lt;0.01. Alpha = 0.10.</w:t>
            </w:r>
          </w:p>
        </w:tc>
      </w:tr>
    </w:tbl>
    <w:tbl>
      <w:tblPr>
        <w:tblStyle w:val="Table"/>
        <w:tblW w:type="pct" w:w="4848"/>
        <w:tblLayout w:type="fixed"/>
        <w:tblLook w:firstRow="1" w:lastRow="1" w:firstColumn="0" w:lastColumn="0" w:noHBand="0" w:noVBand="0" w:val="0020"/>
        <w:tblCaption w:val="Table 10. Robustness Checks"/>
      </w:tblPr>
      <w:tblGrid>
        <w:gridCol w:w="2160"/>
        <w:gridCol w:w="840"/>
        <w:gridCol w:w="800"/>
        <w:gridCol w:w="880"/>
        <w:gridCol w:w="600"/>
        <w:gridCol w:w="680"/>
        <w:gridCol w:w="880"/>
        <w:gridCol w:w="840"/>
      </w:tblGrid>
      <w:tr>
        <w:trPr>
          <w:tblHeader w:val="on"/>
        </w:trPr>
        <w:tc>
          <w:tcPr/>
          <w:p>
            <w:pPr>
              <w:pStyle w:val="Compact"/>
            </w:pPr>
          </w:p>
        </w:tc>
        <w:tc>
          <w:tcPr/>
          <w:p>
            <w:pPr>
              <w:pStyle w:val="Compact"/>
            </w:pPr>
            <w:r>
              <w:t xml:space="preserve">(R1a) High-capital</w:t>
            </w:r>
          </w:p>
        </w:tc>
        <w:tc>
          <w:tcPr/>
          <w:p>
            <w:pPr>
              <w:pStyle w:val="Compact"/>
            </w:pPr>
            <w:r>
              <w:t xml:space="preserve">(R1b) Low-capital</w:t>
            </w:r>
          </w:p>
        </w:tc>
        <w:tc>
          <w:tcPr/>
          <w:p>
            <w:pPr>
              <w:pStyle w:val="Compact"/>
            </w:pPr>
            <w:r>
              <w:t xml:space="preserve">(R2) Alt. weighting</w:t>
            </w:r>
          </w:p>
        </w:tc>
        <w:tc>
          <w:tcPr/>
          <w:p>
            <w:pPr>
              <w:pStyle w:val="Compact"/>
            </w:pPr>
            <w:r>
              <w:t xml:space="preserve">(R4) Placebo</w:t>
            </w:r>
          </w:p>
        </w:tc>
        <w:tc>
          <w:tcPr/>
          <w:p>
            <w:pPr>
              <w:pStyle w:val="Compact"/>
            </w:pPr>
            <w:r>
              <w:t xml:space="preserve">(R5) Full A*10</w:t>
            </w:r>
          </w:p>
        </w:tc>
        <w:tc>
          <w:tcPr/>
          <w:p>
            <w:pPr>
              <w:pStyle w:val="Compact"/>
            </w:pPr>
            <w:r>
              <w:t xml:space="preserve">(R2b-hi) High-skill</w:t>
            </w:r>
          </w:p>
        </w:tc>
        <w:tc>
          <w:tcPr/>
          <w:p>
            <w:pPr>
              <w:pStyle w:val="Compact"/>
            </w:pPr>
            <w:r>
              <w:t xml:space="preserve">(R2b-lo) Low-skill</w:t>
            </w:r>
          </w:p>
        </w:tc>
      </w:tr>
      <w:tr>
        <w:tc>
          <w:tcPr/>
          <w:p>
            <w:pPr>
              <w:pStyle w:val="Compact"/>
            </w:pPr>
            <w:r>
              <w:t xml:space="preserve">AI Patent Intensity (ln, IV)</w:t>
            </w:r>
          </w:p>
        </w:tc>
        <w:tc>
          <w:tcPr/>
          <w:p>
            <w:pPr>
              <w:pStyle w:val="Compact"/>
            </w:pPr>
            <w:r>
              <w:t xml:space="preserve">-0.0133</w:t>
            </w:r>
          </w:p>
        </w:tc>
        <w:tc>
          <w:tcPr/>
          <w:p>
            <w:pPr>
              <w:pStyle w:val="Compact"/>
            </w:pPr>
            <w:r>
              <w:t xml:space="preserve">0.0365</w:t>
            </w:r>
          </w:p>
        </w:tc>
        <w:tc>
          <w:tcPr/>
          <w:p>
            <w:pPr>
              <w:pStyle w:val="Compact"/>
            </w:pPr>
          </w:p>
        </w:tc>
        <w:tc>
          <w:tcPr/>
          <w:p>
            <w:pPr>
              <w:pStyle w:val="Compact"/>
            </w:pPr>
          </w:p>
        </w:tc>
        <w:tc>
          <w:tcPr/>
          <w:p>
            <w:pPr>
              <w:pStyle w:val="Compact"/>
            </w:pPr>
            <w:r>
              <w:t xml:space="preserve">0.0114</w:t>
            </w:r>
          </w:p>
        </w:tc>
        <w:tc>
          <w:tcPr/>
          <w:p>
            <w:pPr>
              <w:pStyle w:val="Compact"/>
            </w:pPr>
            <w:r>
              <w:t xml:space="preserve">0.0538</w:t>
            </w:r>
          </w:p>
        </w:tc>
        <w:tc>
          <w:tcPr/>
          <w:p>
            <w:pPr>
              <w:pStyle w:val="Compact"/>
            </w:pPr>
            <w:r>
              <w:t xml:space="preserve">0.0112</w:t>
            </w:r>
          </w:p>
        </w:tc>
      </w:tr>
      <w:tr>
        <w:tc>
          <w:tcPr/>
          <w:p>
            <w:pPr>
              <w:pStyle w:val="Compact"/>
            </w:pPr>
          </w:p>
        </w:tc>
        <w:tc>
          <w:tcPr/>
          <w:p>
            <w:pPr>
              <w:pStyle w:val="Compact"/>
            </w:pPr>
            <w:r>
              <w:t xml:space="preserve">(0.0341)</w:t>
            </w:r>
          </w:p>
        </w:tc>
        <w:tc>
          <w:tcPr/>
          <w:p>
            <w:pPr>
              <w:pStyle w:val="Compact"/>
            </w:pPr>
            <w:r>
              <w:t xml:space="preserve">(0.0336)</w:t>
            </w:r>
          </w:p>
        </w:tc>
        <w:tc>
          <w:tcPr/>
          <w:p>
            <w:pPr>
              <w:pStyle w:val="Compact"/>
            </w:pPr>
          </w:p>
        </w:tc>
        <w:tc>
          <w:tcPr/>
          <w:p>
            <w:pPr>
              <w:pStyle w:val="Compact"/>
            </w:pPr>
          </w:p>
        </w:tc>
        <w:tc>
          <w:tcPr/>
          <w:p>
            <w:pPr>
              <w:pStyle w:val="Compact"/>
            </w:pPr>
            <w:r>
              <w:t xml:space="preserve">(0.0255)</w:t>
            </w:r>
          </w:p>
        </w:tc>
        <w:tc>
          <w:tcPr/>
          <w:p>
            <w:pPr>
              <w:pStyle w:val="Compact"/>
            </w:pPr>
            <w:r>
              <w:t xml:space="preserve">(0.0652)</w:t>
            </w:r>
          </w:p>
        </w:tc>
        <w:tc>
          <w:tcPr/>
          <w:p>
            <w:pPr>
              <w:pStyle w:val="Compact"/>
            </w:pPr>
            <w:r>
              <w:t xml:space="preserve">(0.0291)</w:t>
            </w:r>
          </w:p>
        </w:tc>
      </w:tr>
      <w:tr>
        <w:tc>
          <w:tcPr/>
          <w:p>
            <w:pPr>
              <w:pStyle w:val="Compact"/>
            </w:pPr>
            <w:r>
              <w:t xml:space="preserve">GDP per capita (ln, constant 2015 USD)</w:t>
            </w:r>
          </w:p>
        </w:tc>
        <w:tc>
          <w:tcPr/>
          <w:p>
            <w:pPr>
              <w:pStyle w:val="Compact"/>
            </w:pPr>
            <w:r>
              <w:t xml:space="preserve">-0.1335</w:t>
            </w:r>
          </w:p>
        </w:tc>
        <w:tc>
          <w:tcPr/>
          <w:p>
            <w:pPr>
              <w:pStyle w:val="Compact"/>
            </w:pPr>
            <w:r>
              <w:t xml:space="preserve">-0.2447</w:t>
            </w:r>
          </w:p>
        </w:tc>
        <w:tc>
          <w:tcPr/>
          <w:p>
            <w:pPr>
              <w:pStyle w:val="Compact"/>
            </w:pPr>
            <w:r>
              <w:t xml:space="preserve">-0.2402*</w:t>
            </w:r>
          </w:p>
        </w:tc>
        <w:tc>
          <w:tcPr/>
          <w:p>
            <w:pPr>
              <w:pStyle w:val="Compact"/>
            </w:pPr>
            <w:r>
              <w:t xml:space="preserve">-0.2250*</w:t>
            </w:r>
          </w:p>
        </w:tc>
        <w:tc>
          <w:tcPr/>
          <w:p>
            <w:pPr>
              <w:pStyle w:val="Compact"/>
            </w:pPr>
            <w:r>
              <w:t xml:space="preserve">-0.2376*</w:t>
            </w:r>
          </w:p>
        </w:tc>
        <w:tc>
          <w:tcPr/>
          <w:p>
            <w:pPr>
              <w:pStyle w:val="Compact"/>
            </w:pPr>
            <w:r>
              <w:t xml:space="preserve">0.0222</w:t>
            </w:r>
          </w:p>
        </w:tc>
        <w:tc>
          <w:tcPr/>
          <w:p>
            <w:pPr>
              <w:pStyle w:val="Compact"/>
            </w:pPr>
            <w:r>
              <w:t xml:space="preserve">-0.4418***</w:t>
            </w:r>
          </w:p>
        </w:tc>
      </w:tr>
      <w:tr>
        <w:tc>
          <w:tcPr/>
          <w:p>
            <w:pPr>
              <w:pStyle w:val="Compact"/>
            </w:pPr>
          </w:p>
        </w:tc>
        <w:tc>
          <w:tcPr/>
          <w:p>
            <w:pPr>
              <w:pStyle w:val="Compact"/>
            </w:pPr>
            <w:r>
              <w:t xml:space="preserve">(0.1497)</w:t>
            </w:r>
          </w:p>
        </w:tc>
        <w:tc>
          <w:tcPr/>
          <w:p>
            <w:pPr>
              <w:pStyle w:val="Compact"/>
            </w:pPr>
            <w:r>
              <w:t xml:space="preserve">(0.1803)</w:t>
            </w:r>
          </w:p>
        </w:tc>
        <w:tc>
          <w:tcPr/>
          <w:p>
            <w:pPr>
              <w:pStyle w:val="Compact"/>
            </w:pPr>
            <w:r>
              <w:t xml:space="preserve">(0.1334)</w:t>
            </w:r>
          </w:p>
        </w:tc>
        <w:tc>
          <w:tcPr/>
          <w:p>
            <w:pPr>
              <w:pStyle w:val="Compact"/>
            </w:pPr>
            <w:r>
              <w:t xml:space="preserve">(0.1274)</w:t>
            </w:r>
          </w:p>
        </w:tc>
        <w:tc>
          <w:tcPr/>
          <w:p>
            <w:pPr>
              <w:pStyle w:val="Compact"/>
            </w:pPr>
            <w:r>
              <w:t xml:space="preserve">(0.1353)</w:t>
            </w:r>
          </w:p>
        </w:tc>
        <w:tc>
          <w:tcPr/>
          <w:p>
            <w:pPr>
              <w:pStyle w:val="Compact"/>
            </w:pPr>
            <w:r>
              <w:t xml:space="preserve">(0.2143)</w:t>
            </w:r>
          </w:p>
        </w:tc>
        <w:tc>
          <w:tcPr/>
          <w:p>
            <w:pPr>
              <w:pStyle w:val="Compact"/>
            </w:pPr>
            <w:r>
              <w:t xml:space="preserve">(0.1443)</w:t>
            </w:r>
          </w:p>
        </w:tc>
      </w:tr>
      <w:tr>
        <w:tc>
          <w:tcPr/>
          <w:p>
            <w:pPr>
              <w:pStyle w:val="Compact"/>
            </w:pPr>
            <w:r>
              <w:t xml:space="preserve">Renewable energy (% total final energy consumption)</w:t>
            </w:r>
          </w:p>
        </w:tc>
        <w:tc>
          <w:tcPr/>
          <w:p>
            <w:pPr>
              <w:pStyle w:val="Compact"/>
            </w:pPr>
            <w:r>
              <w:t xml:space="preserve">0.0000</w:t>
            </w:r>
          </w:p>
        </w:tc>
        <w:tc>
          <w:tcPr/>
          <w:p>
            <w:pPr>
              <w:pStyle w:val="Compact"/>
            </w:pPr>
            <w:r>
              <w:t xml:space="preserve">0.0026</w:t>
            </w:r>
          </w:p>
        </w:tc>
        <w:tc>
          <w:tcPr/>
          <w:p>
            <w:pPr>
              <w:pStyle w:val="Compact"/>
            </w:pPr>
            <w:r>
              <w:t xml:space="preserve">0.0026</w:t>
            </w:r>
          </w:p>
        </w:tc>
        <w:tc>
          <w:tcPr/>
          <w:p>
            <w:pPr>
              <w:pStyle w:val="Compact"/>
            </w:pPr>
            <w:r>
              <w:t xml:space="preserve">0.0028</w:t>
            </w:r>
          </w:p>
        </w:tc>
        <w:tc>
          <w:tcPr/>
          <w:p>
            <w:pPr>
              <w:pStyle w:val="Compact"/>
            </w:pPr>
            <w:r>
              <w:t xml:space="preserve">0.0026</w:t>
            </w:r>
          </w:p>
        </w:tc>
        <w:tc>
          <w:tcPr/>
          <w:p>
            <w:pPr>
              <w:pStyle w:val="Compact"/>
            </w:pPr>
            <w:r>
              <w:t xml:space="preserve">0.0045</w:t>
            </w:r>
          </w:p>
        </w:tc>
        <w:tc>
          <w:tcPr/>
          <w:p>
            <w:pPr>
              <w:pStyle w:val="Compact"/>
            </w:pPr>
            <w:r>
              <w:t xml:space="preserve">0.0014</w:t>
            </w:r>
          </w:p>
        </w:tc>
      </w:tr>
      <w:tr>
        <w:tc>
          <w:tcPr/>
          <w:p>
            <w:pPr>
              <w:pStyle w:val="Compact"/>
            </w:pPr>
          </w:p>
        </w:tc>
        <w:tc>
          <w:tcPr/>
          <w:p>
            <w:pPr>
              <w:pStyle w:val="Compact"/>
            </w:pPr>
            <w:r>
              <w:t xml:space="preserve">(0.0038)</w:t>
            </w:r>
          </w:p>
        </w:tc>
        <w:tc>
          <w:tcPr/>
          <w:p>
            <w:pPr>
              <w:pStyle w:val="Compact"/>
            </w:pPr>
            <w:r>
              <w:t xml:space="preserve">(0.0044)</w:t>
            </w:r>
          </w:p>
        </w:tc>
        <w:tc>
          <w:tcPr/>
          <w:p>
            <w:pPr>
              <w:pStyle w:val="Compact"/>
            </w:pPr>
            <w:r>
              <w:t xml:space="preserve">(0.0042)</w:t>
            </w:r>
          </w:p>
        </w:tc>
        <w:tc>
          <w:tcPr/>
          <w:p>
            <w:pPr>
              <w:pStyle w:val="Compact"/>
            </w:pPr>
            <w:r>
              <w:t xml:space="preserve">(0.0042)</w:t>
            </w:r>
          </w:p>
        </w:tc>
        <w:tc>
          <w:tcPr/>
          <w:p>
            <w:pPr>
              <w:pStyle w:val="Compact"/>
            </w:pPr>
            <w:r>
              <w:t xml:space="preserve">(0.0042)</w:t>
            </w:r>
          </w:p>
        </w:tc>
        <w:tc>
          <w:tcPr/>
          <w:p>
            <w:pPr>
              <w:pStyle w:val="Compact"/>
            </w:pPr>
            <w:r>
              <w:t xml:space="preserve">(0.0085)</w:t>
            </w:r>
          </w:p>
        </w:tc>
        <w:tc>
          <w:tcPr/>
          <w:p>
            <w:pPr>
              <w:pStyle w:val="Compact"/>
            </w:pPr>
            <w:r>
              <w:t xml:space="preserve">(0.0025)</w:t>
            </w:r>
          </w:p>
        </w:tc>
      </w:tr>
      <w:tr>
        <w:tc>
          <w:tcPr/>
          <w:p>
            <w:pPr>
              <w:pStyle w:val="Compact"/>
            </w:pPr>
            <w:r>
              <w:t xml:space="preserve">Capital formation / Value added</w:t>
            </w:r>
          </w:p>
        </w:tc>
        <w:tc>
          <w:tcPr/>
          <w:p>
            <w:pPr>
              <w:pStyle w:val="Compact"/>
            </w:pPr>
            <w:r>
              <w:t xml:space="preserve">0.6164***</w:t>
            </w:r>
          </w:p>
        </w:tc>
        <w:tc>
          <w:tcPr/>
          <w:p>
            <w:pPr>
              <w:pStyle w:val="Compact"/>
            </w:pPr>
            <w:r>
              <w:t xml:space="preserve">0.3978</w:t>
            </w:r>
          </w:p>
        </w:tc>
        <w:tc>
          <w:tcPr/>
          <w:p>
            <w:pPr>
              <w:pStyle w:val="Compact"/>
            </w:pPr>
            <w:r>
              <w:t xml:space="preserve">0.6585***</w:t>
            </w:r>
          </w:p>
        </w:tc>
        <w:tc>
          <w:tcPr/>
          <w:p>
            <w:pPr>
              <w:pStyle w:val="Compact"/>
            </w:pPr>
            <w:r>
              <w:t xml:space="preserve">0.6631***</w:t>
            </w:r>
          </w:p>
        </w:tc>
        <w:tc>
          <w:tcPr/>
          <w:p>
            <w:pPr>
              <w:pStyle w:val="Compact"/>
            </w:pPr>
            <w:r>
              <w:t xml:space="preserve">0.6555***</w:t>
            </w:r>
          </w:p>
        </w:tc>
        <w:tc>
          <w:tcPr/>
          <w:p>
            <w:pPr>
              <w:pStyle w:val="Compact"/>
            </w:pPr>
            <w:r>
              <w:t xml:space="preserve">0.7256***</w:t>
            </w:r>
          </w:p>
        </w:tc>
        <w:tc>
          <w:tcPr/>
          <w:p>
            <w:pPr>
              <w:pStyle w:val="Compact"/>
            </w:pPr>
            <w:r>
              <w:t xml:space="preserve">0.4285**</w:t>
            </w:r>
          </w:p>
        </w:tc>
      </w:tr>
      <w:tr>
        <w:tc>
          <w:tcPr/>
          <w:p>
            <w:pPr>
              <w:pStyle w:val="Compact"/>
            </w:pPr>
          </w:p>
        </w:tc>
        <w:tc>
          <w:tcPr/>
          <w:p>
            <w:pPr>
              <w:pStyle w:val="Compact"/>
            </w:pPr>
            <w:r>
              <w:t xml:space="preserve">(0.1449)</w:t>
            </w:r>
          </w:p>
        </w:tc>
        <w:tc>
          <w:tcPr/>
          <w:p>
            <w:pPr>
              <w:pStyle w:val="Compact"/>
            </w:pPr>
            <w:r>
              <w:t xml:space="preserve">(0.2520)</w:t>
            </w:r>
          </w:p>
        </w:tc>
        <w:tc>
          <w:tcPr/>
          <w:p>
            <w:pPr>
              <w:pStyle w:val="Compact"/>
            </w:pPr>
            <w:r>
              <w:t xml:space="preserve">(0.1406)</w:t>
            </w:r>
          </w:p>
        </w:tc>
        <w:tc>
          <w:tcPr/>
          <w:p>
            <w:pPr>
              <w:pStyle w:val="Compact"/>
            </w:pPr>
            <w:r>
              <w:t xml:space="preserve">(0.1420)</w:t>
            </w:r>
          </w:p>
        </w:tc>
        <w:tc>
          <w:tcPr/>
          <w:p>
            <w:pPr>
              <w:pStyle w:val="Compact"/>
            </w:pPr>
            <w:r>
              <w:t xml:space="preserve">(0.1395)</w:t>
            </w:r>
          </w:p>
        </w:tc>
        <w:tc>
          <w:tcPr/>
          <w:p>
            <w:pPr>
              <w:pStyle w:val="Compact"/>
            </w:pPr>
            <w:r>
              <w:t xml:space="preserve">(0.1630)</w:t>
            </w:r>
          </w:p>
        </w:tc>
        <w:tc>
          <w:tcPr/>
          <w:p>
            <w:pPr>
              <w:pStyle w:val="Compact"/>
            </w:pPr>
            <w:r>
              <w:t xml:space="preserve">(0.1840)</w:t>
            </w:r>
          </w:p>
        </w:tc>
      </w:tr>
      <w:tr>
        <w:tc>
          <w:tcPr/>
          <w:p>
            <w:pPr>
              <w:pStyle w:val="Compact"/>
            </w:pPr>
            <w:r>
              <w:t xml:space="preserve">R&amp;D expenditure (% of GDP)</w:t>
            </w:r>
          </w:p>
        </w:tc>
        <w:tc>
          <w:tcPr/>
          <w:p>
            <w:pPr>
              <w:pStyle w:val="Compact"/>
            </w:pPr>
            <w:r>
              <w:t xml:space="preserve">0.0460</w:t>
            </w:r>
          </w:p>
        </w:tc>
        <w:tc>
          <w:tcPr/>
          <w:p>
            <w:pPr>
              <w:pStyle w:val="Compact"/>
            </w:pPr>
            <w:r>
              <w:t xml:space="preserve">0.0255</w:t>
            </w:r>
          </w:p>
        </w:tc>
        <w:tc>
          <w:tcPr/>
          <w:p>
            <w:pPr>
              <w:pStyle w:val="Compact"/>
            </w:pPr>
            <w:r>
              <w:t xml:space="preserve">0.0416*</w:t>
            </w:r>
          </w:p>
        </w:tc>
        <w:tc>
          <w:tcPr/>
          <w:p>
            <w:pPr>
              <w:pStyle w:val="Compact"/>
            </w:pPr>
            <w:r>
              <w:t xml:space="preserve">0.0308</w:t>
            </w:r>
          </w:p>
        </w:tc>
        <w:tc>
          <w:tcPr/>
          <w:p>
            <w:pPr>
              <w:pStyle w:val="Compact"/>
            </w:pPr>
            <w:r>
              <w:t xml:space="preserve">0.0397*</w:t>
            </w:r>
          </w:p>
        </w:tc>
        <w:tc>
          <w:tcPr/>
          <w:p>
            <w:pPr>
              <w:pStyle w:val="Compact"/>
            </w:pPr>
            <w:r>
              <w:t xml:space="preserve">0.0126</w:t>
            </w:r>
          </w:p>
        </w:tc>
        <w:tc>
          <w:tcPr/>
          <w:p>
            <w:pPr>
              <w:pStyle w:val="Compact"/>
            </w:pPr>
            <w:r>
              <w:t xml:space="preserve">0.0380</w:t>
            </w:r>
          </w:p>
        </w:tc>
      </w:tr>
      <w:tr>
        <w:tc>
          <w:tcPr/>
          <w:p>
            <w:pPr>
              <w:pStyle w:val="Compact"/>
            </w:pPr>
          </w:p>
        </w:tc>
        <w:tc>
          <w:tcPr/>
          <w:p>
            <w:pPr>
              <w:pStyle w:val="Compact"/>
            </w:pPr>
            <w:r>
              <w:t xml:space="preserve">(0.0306)</w:t>
            </w:r>
          </w:p>
        </w:tc>
        <w:tc>
          <w:tcPr/>
          <w:p>
            <w:pPr>
              <w:pStyle w:val="Compact"/>
            </w:pPr>
            <w:r>
              <w:t xml:space="preserve">(0.0275)</w:t>
            </w:r>
          </w:p>
        </w:tc>
        <w:tc>
          <w:tcPr/>
          <w:p>
            <w:pPr>
              <w:pStyle w:val="Compact"/>
            </w:pPr>
            <w:r>
              <w:t xml:space="preserve">(0.0220)</w:t>
            </w:r>
          </w:p>
        </w:tc>
        <w:tc>
          <w:tcPr/>
          <w:p>
            <w:pPr>
              <w:pStyle w:val="Compact"/>
            </w:pPr>
            <w:r>
              <w:t xml:space="preserve">(0.0203)</w:t>
            </w:r>
          </w:p>
        </w:tc>
        <w:tc>
          <w:tcPr/>
          <w:p>
            <w:pPr>
              <w:pStyle w:val="Compact"/>
            </w:pPr>
            <w:r>
              <w:t xml:space="preserve">(0.0229)</w:t>
            </w:r>
          </w:p>
        </w:tc>
        <w:tc>
          <w:tcPr/>
          <w:p>
            <w:pPr>
              <w:pStyle w:val="Compact"/>
            </w:pPr>
            <w:r>
              <w:t xml:space="preserve">(0.0401)</w:t>
            </w:r>
          </w:p>
        </w:tc>
        <w:tc>
          <w:tcPr/>
          <w:p>
            <w:pPr>
              <w:pStyle w:val="Compact"/>
            </w:pPr>
            <w:r>
              <w:t xml:space="preserve">(0.0261)</w:t>
            </w:r>
          </w:p>
        </w:tc>
      </w:tr>
      <w:tr>
        <w:tc>
          <w:tcPr/>
          <w:p>
            <w:pPr>
              <w:pStyle w:val="Compact"/>
            </w:pPr>
            <w:r>
              <w:t xml:space="preserve">Trade openness (% of GDP)</w:t>
            </w:r>
          </w:p>
        </w:tc>
        <w:tc>
          <w:tcPr/>
          <w:p>
            <w:pPr>
              <w:pStyle w:val="Compact"/>
            </w:pPr>
            <w:r>
              <w:t xml:space="preserve">-0.0004</w:t>
            </w:r>
          </w:p>
        </w:tc>
        <w:tc>
          <w:tcPr/>
          <w:p>
            <w:pPr>
              <w:pStyle w:val="Compact"/>
            </w:pPr>
            <w:r>
              <w:t xml:space="preserve">-0.0015</w:t>
            </w:r>
          </w:p>
        </w:tc>
        <w:tc>
          <w:tcPr/>
          <w:p>
            <w:pPr>
              <w:pStyle w:val="Compact"/>
            </w:pPr>
            <w:r>
              <w:t xml:space="preserve">-0.0011</w:t>
            </w:r>
          </w:p>
        </w:tc>
        <w:tc>
          <w:tcPr/>
          <w:p>
            <w:pPr>
              <w:pStyle w:val="Compact"/>
            </w:pPr>
            <w:r>
              <w:t xml:space="preserve">-0.0009</w:t>
            </w:r>
          </w:p>
        </w:tc>
        <w:tc>
          <w:tcPr/>
          <w:p>
            <w:pPr>
              <w:pStyle w:val="Compact"/>
            </w:pPr>
            <w:r>
              <w:t xml:space="preserve">-0.0011</w:t>
            </w:r>
          </w:p>
        </w:tc>
        <w:tc>
          <w:tcPr/>
          <w:p>
            <w:pPr>
              <w:pStyle w:val="Compact"/>
            </w:pPr>
            <w:r>
              <w:t xml:space="preserve">-0.0008</w:t>
            </w:r>
          </w:p>
        </w:tc>
        <w:tc>
          <w:tcPr/>
          <w:p>
            <w:pPr>
              <w:pStyle w:val="Compact"/>
            </w:pPr>
            <w:r>
              <w:t xml:space="preserve">-0.0009</w:t>
            </w:r>
          </w:p>
        </w:tc>
      </w:tr>
      <w:tr>
        <w:tc>
          <w:tcPr/>
          <w:p>
            <w:pPr>
              <w:pStyle w:val="Compact"/>
            </w:pPr>
          </w:p>
        </w:tc>
        <w:tc>
          <w:tcPr/>
          <w:p>
            <w:pPr>
              <w:pStyle w:val="Compact"/>
            </w:pPr>
            <w:r>
              <w:t xml:space="preserve">(0.0011)</w:t>
            </w:r>
          </w:p>
        </w:tc>
        <w:tc>
          <w:tcPr/>
          <w:p>
            <w:pPr>
              <w:pStyle w:val="Compact"/>
            </w:pPr>
            <w:r>
              <w:t xml:space="preserve">(0.0011)</w:t>
            </w:r>
          </w:p>
        </w:tc>
        <w:tc>
          <w:tcPr/>
          <w:p>
            <w:pPr>
              <w:pStyle w:val="Compact"/>
            </w:pPr>
            <w:r>
              <w:t xml:space="preserve">(0.0009)</w:t>
            </w:r>
          </w:p>
        </w:tc>
        <w:tc>
          <w:tcPr/>
          <w:p>
            <w:pPr>
              <w:pStyle w:val="Compact"/>
            </w:pPr>
            <w:r>
              <w:t xml:space="preserve">(0.0008)</w:t>
            </w:r>
          </w:p>
        </w:tc>
        <w:tc>
          <w:tcPr/>
          <w:p>
            <w:pPr>
              <w:pStyle w:val="Compact"/>
            </w:pPr>
            <w:r>
              <w:t xml:space="preserve">(0.0009)</w:t>
            </w:r>
          </w:p>
        </w:tc>
        <w:tc>
          <w:tcPr/>
          <w:p>
            <w:pPr>
              <w:pStyle w:val="Compact"/>
            </w:pPr>
            <w:r>
              <w:t xml:space="preserve">(0.0013)</w:t>
            </w:r>
          </w:p>
        </w:tc>
        <w:tc>
          <w:tcPr/>
          <w:p>
            <w:pPr>
              <w:pStyle w:val="Compact"/>
            </w:pPr>
            <w:r>
              <w:t xml:space="preserve">(0.0010)</w:t>
            </w:r>
          </w:p>
        </w:tc>
      </w:tr>
      <w:tr>
        <w:tc>
          <w:tcPr/>
          <w:p>
            <w:pPr>
              <w:pStyle w:val="Compact"/>
            </w:pPr>
            <w:r>
              <w:t xml:space="preserve">Fixed broadband subscriptions (per 100 people)</w:t>
            </w:r>
          </w:p>
        </w:tc>
        <w:tc>
          <w:tcPr/>
          <w:p>
            <w:pPr>
              <w:pStyle w:val="Compact"/>
            </w:pPr>
            <w:r>
              <w:t xml:space="preserve">0.0033</w:t>
            </w:r>
          </w:p>
        </w:tc>
        <w:tc>
          <w:tcPr/>
          <w:p>
            <w:pPr>
              <w:pStyle w:val="Compact"/>
            </w:pPr>
            <w:r>
              <w:t xml:space="preserve">0.0024</w:t>
            </w:r>
          </w:p>
        </w:tc>
        <w:tc>
          <w:tcPr/>
          <w:p>
            <w:pPr>
              <w:pStyle w:val="Compact"/>
            </w:pPr>
            <w:r>
              <w:t xml:space="preserve">0.0021</w:t>
            </w:r>
          </w:p>
        </w:tc>
        <w:tc>
          <w:tcPr/>
          <w:p>
            <w:pPr>
              <w:pStyle w:val="Compact"/>
            </w:pPr>
            <w:r>
              <w:t xml:space="preserve">0.0040</w:t>
            </w:r>
          </w:p>
        </w:tc>
        <w:tc>
          <w:tcPr/>
          <w:p>
            <w:pPr>
              <w:pStyle w:val="Compact"/>
            </w:pPr>
            <w:r>
              <w:t xml:space="preserve">0.0025</w:t>
            </w:r>
          </w:p>
        </w:tc>
        <w:tc>
          <w:tcPr/>
          <w:p>
            <w:pPr>
              <w:pStyle w:val="Compact"/>
            </w:pPr>
            <w:r>
              <w:t xml:space="preserve">0.0032</w:t>
            </w:r>
          </w:p>
        </w:tc>
        <w:tc>
          <w:tcPr/>
          <w:p>
            <w:pPr>
              <w:pStyle w:val="Compact"/>
            </w:pPr>
            <w:r>
              <w:t xml:space="preserve">0.0038</w:t>
            </w:r>
          </w:p>
        </w:tc>
      </w:tr>
      <w:tr>
        <w:tc>
          <w:tcPr/>
          <w:p>
            <w:pPr>
              <w:pStyle w:val="Compact"/>
            </w:pPr>
          </w:p>
        </w:tc>
        <w:tc>
          <w:tcPr/>
          <w:p>
            <w:pPr>
              <w:pStyle w:val="Compact"/>
            </w:pPr>
            <w:r>
              <w:t xml:space="preserve">(0.0042)</w:t>
            </w:r>
          </w:p>
        </w:tc>
        <w:tc>
          <w:tcPr/>
          <w:p>
            <w:pPr>
              <w:pStyle w:val="Compact"/>
            </w:pPr>
            <w:r>
              <w:t xml:space="preserve">(0.0045)</w:t>
            </w:r>
          </w:p>
        </w:tc>
        <w:tc>
          <w:tcPr/>
          <w:p>
            <w:pPr>
              <w:pStyle w:val="Compact"/>
            </w:pPr>
            <w:r>
              <w:t xml:space="preserve">(0.0036)</w:t>
            </w:r>
          </w:p>
        </w:tc>
        <w:tc>
          <w:tcPr/>
          <w:p>
            <w:pPr>
              <w:pStyle w:val="Compact"/>
            </w:pPr>
            <w:r>
              <w:t xml:space="preserve">(0.0033)</w:t>
            </w:r>
          </w:p>
        </w:tc>
        <w:tc>
          <w:tcPr/>
          <w:p>
            <w:pPr>
              <w:pStyle w:val="Compact"/>
            </w:pPr>
            <w:r>
              <w:t xml:space="preserve">(0.0032)</w:t>
            </w:r>
          </w:p>
        </w:tc>
        <w:tc>
          <w:tcPr/>
          <w:p>
            <w:pPr>
              <w:pStyle w:val="Compact"/>
            </w:pPr>
            <w:r>
              <w:t xml:space="preserve">(0.0070)</w:t>
            </w:r>
          </w:p>
        </w:tc>
        <w:tc>
          <w:tcPr/>
          <w:p>
            <w:pPr>
              <w:pStyle w:val="Compact"/>
            </w:pPr>
            <w:r>
              <w:t xml:space="preserve">(0.0029)</w:t>
            </w:r>
          </w:p>
        </w:tc>
      </w:tr>
      <w:tr>
        <w:tc>
          <w:tcPr/>
          <w:p>
            <w:pPr>
              <w:pStyle w:val="Compact"/>
            </w:pPr>
            <w:r>
              <w:t xml:space="preserve">AI Patent Intensity (ln, IV, equal weights)</w:t>
            </w:r>
          </w:p>
        </w:tc>
        <w:tc>
          <w:tcPr/>
          <w:p>
            <w:pPr>
              <w:pStyle w:val="Compact"/>
            </w:pPr>
          </w:p>
        </w:tc>
        <w:tc>
          <w:tcPr/>
          <w:p>
            <w:pPr>
              <w:pStyle w:val="Compact"/>
            </w:pPr>
          </w:p>
        </w:tc>
        <w:tc>
          <w:tcPr/>
          <w:p>
            <w:pPr>
              <w:pStyle w:val="Compact"/>
            </w:pPr>
            <w:r>
              <w:t xml:space="preserve">0.0015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(0.0276)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Patent Intensity (ln, IV, placebo weights)</w:t>
            </w:r>
          </w:p>
        </w:tc>
        <w:tc>
          <w:tcPr/>
          <w:p>
            <w:pPr>
              <w:pStyle w:val="Compact"/>
            </w:pPr>
          </w:p>
        </w:tc>
        <w:tc>
          <w:tcPr/>
          <w:p>
            <w:pPr>
              <w:pStyle w:val="Compact"/>
            </w:pPr>
          </w:p>
        </w:tc>
        <w:tc>
          <w:tcPr/>
          <w:p>
            <w:pPr>
              <w:pStyle w:val="Compact"/>
            </w:pPr>
          </w:p>
        </w:tc>
        <w:tc>
          <w:tcPr/>
          <w:p>
            <w:pPr>
              <w:pStyle w:val="Compact"/>
            </w:pPr>
            <w:r>
              <w:t xml:space="preserve">0.0563**</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(0.0259)</w:t>
            </w:r>
          </w:p>
        </w:tc>
        <w:tc>
          <w:tcPr/>
          <w:p>
            <w:pPr>
              <w:pStyle w:val="Compact"/>
            </w:pPr>
          </w:p>
        </w:tc>
        <w:tc>
          <w:tcPr/>
          <w:p>
            <w:pPr>
              <w:pStyle w:val="Compact"/>
            </w:pPr>
          </w:p>
        </w:tc>
        <w:tc>
          <w:tcPr/>
          <w:p>
            <w:pPr>
              <w:pStyle w:val="Compact"/>
            </w:pPr>
          </w:p>
        </w:tc>
      </w:tr>
      <w:tr>
        <w:tc>
          <w:tcPr/>
          <w:p>
            <w:pPr>
              <w:pStyle w:val="Compact"/>
            </w:pPr>
            <w:r>
              <w:t xml:space="preserve">Num.Obs.</w:t>
            </w:r>
          </w:p>
        </w:tc>
        <w:tc>
          <w:tcPr/>
          <w:p>
            <w:pPr>
              <w:pStyle w:val="Compact"/>
            </w:pPr>
            <w:r>
              <w:t xml:space="preserve">1549</w:t>
            </w:r>
          </w:p>
        </w:tc>
        <w:tc>
          <w:tcPr/>
          <w:p>
            <w:pPr>
              <w:pStyle w:val="Compact"/>
            </w:pPr>
            <w:r>
              <w:t xml:space="preserve">1553</w:t>
            </w:r>
          </w:p>
        </w:tc>
        <w:tc>
          <w:tcPr/>
          <w:p>
            <w:pPr>
              <w:pStyle w:val="Compact"/>
            </w:pPr>
            <w:r>
              <w:t xml:space="preserve">3120</w:t>
            </w:r>
          </w:p>
        </w:tc>
        <w:tc>
          <w:tcPr/>
          <w:p>
            <w:pPr>
              <w:pStyle w:val="Compact"/>
            </w:pPr>
            <w:r>
              <w:t xml:space="preserve">3120</w:t>
            </w:r>
          </w:p>
        </w:tc>
        <w:tc>
          <w:tcPr/>
          <w:p>
            <w:pPr>
              <w:pStyle w:val="Compact"/>
            </w:pPr>
            <w:r>
              <w:t xml:space="preserve">3120</w:t>
            </w:r>
          </w:p>
        </w:tc>
        <w:tc>
          <w:tcPr/>
          <w:p>
            <w:pPr>
              <w:pStyle w:val="Compact"/>
            </w:pPr>
            <w:r>
              <w:t xml:space="preserve">1551</w:t>
            </w:r>
          </w:p>
        </w:tc>
        <w:tc>
          <w:tcPr/>
          <w:p>
            <w:pPr>
              <w:pStyle w:val="Compact"/>
            </w:pPr>
            <w:r>
              <w:t xml:space="preserve">1553</w:t>
            </w:r>
          </w:p>
        </w:tc>
      </w:tr>
      <w:tr>
        <w:tc>
          <w:tcPr/>
          <w:p>
            <w:pPr>
              <w:pStyle w:val="Compact"/>
            </w:pPr>
            <w:r>
              <w:t xml:space="preserve">R2</w:t>
            </w:r>
          </w:p>
        </w:tc>
        <w:tc>
          <w:tcPr/>
          <w:p>
            <w:pPr>
              <w:pStyle w:val="Compact"/>
            </w:pPr>
            <w:r>
              <w:t xml:space="preserve">0.927</w:t>
            </w:r>
          </w:p>
        </w:tc>
        <w:tc>
          <w:tcPr/>
          <w:p>
            <w:pPr>
              <w:pStyle w:val="Compact"/>
            </w:pPr>
            <w:r>
              <w:t xml:space="preserve">0.941</w:t>
            </w:r>
          </w:p>
        </w:tc>
        <w:tc>
          <w:tcPr/>
          <w:p>
            <w:pPr>
              <w:pStyle w:val="Compact"/>
            </w:pPr>
            <w:r>
              <w:t xml:space="preserve">0.935</w:t>
            </w:r>
          </w:p>
        </w:tc>
        <w:tc>
          <w:tcPr/>
          <w:p>
            <w:pPr>
              <w:pStyle w:val="Compact"/>
            </w:pPr>
            <w:r>
              <w:t xml:space="preserve">0.935</w:t>
            </w:r>
          </w:p>
        </w:tc>
        <w:tc>
          <w:tcPr/>
          <w:p>
            <w:pPr>
              <w:pStyle w:val="Compact"/>
            </w:pPr>
            <w:r>
              <w:t xml:space="preserve">0.935</w:t>
            </w:r>
          </w:p>
        </w:tc>
        <w:tc>
          <w:tcPr/>
          <w:p>
            <w:pPr>
              <w:pStyle w:val="Compact"/>
            </w:pPr>
            <w:r>
              <w:t xml:space="preserve">0.904</w:t>
            </w:r>
          </w:p>
        </w:tc>
        <w:tc>
          <w:tcPr/>
          <w:p>
            <w:pPr>
              <w:pStyle w:val="Compact"/>
            </w:pPr>
            <w:r>
              <w:t xml:space="preserve">0.971</w:t>
            </w:r>
          </w:p>
        </w:tc>
      </w:tr>
      <w:tr>
        <w:tc>
          <w:tcPr/>
          <w:p>
            <w:pPr>
              <w:pStyle w:val="Compact"/>
            </w:pPr>
            <w:r>
              <w:t xml:space="preserve">R2 Adj.</w:t>
            </w:r>
          </w:p>
        </w:tc>
        <w:tc>
          <w:tcPr/>
          <w:p>
            <w:pPr>
              <w:pStyle w:val="Compact"/>
            </w:pPr>
            <w:r>
              <w:t xml:space="preserve">0.918</w:t>
            </w:r>
          </w:p>
        </w:tc>
        <w:tc>
          <w:tcPr/>
          <w:p>
            <w:pPr>
              <w:pStyle w:val="Compact"/>
            </w:pPr>
            <w:r>
              <w:t xml:space="preserve">0.933</w:t>
            </w:r>
          </w:p>
        </w:tc>
        <w:tc>
          <w:tcPr/>
          <w:p>
            <w:pPr>
              <w:pStyle w:val="Compact"/>
            </w:pPr>
            <w:r>
              <w:t xml:space="preserve">0.929</w:t>
            </w:r>
          </w:p>
        </w:tc>
        <w:tc>
          <w:tcPr/>
          <w:p>
            <w:pPr>
              <w:pStyle w:val="Compact"/>
            </w:pPr>
            <w:r>
              <w:t xml:space="preserve">0.929</w:t>
            </w:r>
          </w:p>
        </w:tc>
        <w:tc>
          <w:tcPr/>
          <w:p>
            <w:pPr>
              <w:pStyle w:val="Compact"/>
            </w:pPr>
            <w:r>
              <w:t xml:space="preserve">0.929</w:t>
            </w:r>
          </w:p>
        </w:tc>
        <w:tc>
          <w:tcPr/>
          <w:p>
            <w:pPr>
              <w:pStyle w:val="Compact"/>
            </w:pPr>
            <w:r>
              <w:t xml:space="preserve">0.892</w:t>
            </w:r>
          </w:p>
        </w:tc>
        <w:tc>
          <w:tcPr/>
          <w:p>
            <w:pPr>
              <w:pStyle w:val="Compact"/>
            </w:pPr>
            <w:r>
              <w:t xml:space="preserve">0.968</w:t>
            </w:r>
          </w:p>
        </w:tc>
      </w:tr>
      <w:tr>
        <w:tc>
          <w:tcPr/>
          <w:p>
            <w:pPr>
              <w:pStyle w:val="Compact"/>
            </w:pPr>
            <w:r>
              <w:t xml:space="preserve">R2 Within</w:t>
            </w:r>
          </w:p>
        </w:tc>
        <w:tc>
          <w:tcPr/>
          <w:p>
            <w:pPr>
              <w:pStyle w:val="Compact"/>
            </w:pPr>
            <w:r>
              <w:t xml:space="preserve">0.184</w:t>
            </w:r>
          </w:p>
        </w:tc>
        <w:tc>
          <w:tcPr/>
          <w:p>
            <w:pPr>
              <w:pStyle w:val="Compact"/>
            </w:pPr>
            <w:r>
              <w:t xml:space="preserve">0.054</w:t>
            </w:r>
          </w:p>
        </w:tc>
        <w:tc>
          <w:tcPr/>
          <w:p>
            <w:pPr>
              <w:pStyle w:val="Compact"/>
            </w:pPr>
            <w:r>
              <w:t xml:space="preserve">0.152</w:t>
            </w:r>
          </w:p>
        </w:tc>
        <w:tc>
          <w:tcPr/>
          <w:p>
            <w:pPr>
              <w:pStyle w:val="Compact"/>
            </w:pPr>
            <w:r>
              <w:t xml:space="preserve">0.158</w:t>
            </w:r>
          </w:p>
        </w:tc>
        <w:tc>
          <w:tcPr/>
          <w:p>
            <w:pPr>
              <w:pStyle w:val="Compact"/>
            </w:pPr>
            <w:r>
              <w:t xml:space="preserve">0.152</w:t>
            </w:r>
          </w:p>
        </w:tc>
        <w:tc>
          <w:tcPr/>
          <w:p>
            <w:pPr>
              <w:pStyle w:val="Compact"/>
            </w:pPr>
            <w:r>
              <w:t xml:space="preserve">0.191</w:t>
            </w:r>
          </w:p>
        </w:tc>
        <w:tc>
          <w:tcPr/>
          <w:p>
            <w:pPr>
              <w:pStyle w:val="Compact"/>
            </w:pPr>
            <w:r>
              <w:t xml:space="preserve">0.136</w:t>
            </w:r>
          </w:p>
        </w:tc>
      </w:tr>
      <w:tr>
        <w:tc>
          <w:tcPr/>
          <w:p>
            <w:pPr>
              <w:pStyle w:val="Compact"/>
            </w:pPr>
            <w:r>
              <w:t xml:space="preserve">R2 Within Adj.</w:t>
            </w:r>
          </w:p>
        </w:tc>
        <w:tc>
          <w:tcPr/>
          <w:p>
            <w:pPr>
              <w:pStyle w:val="Compact"/>
            </w:pPr>
            <w:r>
              <w:t xml:space="preserve">0.179</w:t>
            </w:r>
          </w:p>
        </w:tc>
        <w:tc>
          <w:tcPr/>
          <w:p>
            <w:pPr>
              <w:pStyle w:val="Compact"/>
            </w:pPr>
            <w:r>
              <w:t xml:space="preserve">0.049</w:t>
            </w:r>
          </w:p>
        </w:tc>
        <w:tc>
          <w:tcPr/>
          <w:p>
            <w:pPr>
              <w:pStyle w:val="Compact"/>
            </w:pPr>
            <w:r>
              <w:t xml:space="preserve">0.150</w:t>
            </w:r>
          </w:p>
        </w:tc>
        <w:tc>
          <w:tcPr/>
          <w:p>
            <w:pPr>
              <w:pStyle w:val="Compact"/>
            </w:pPr>
            <w:r>
              <w:t xml:space="preserve">0.156</w:t>
            </w:r>
          </w:p>
        </w:tc>
        <w:tc>
          <w:tcPr/>
          <w:p>
            <w:pPr>
              <w:pStyle w:val="Compact"/>
            </w:pPr>
            <w:r>
              <w:t xml:space="preserve">0.150</w:t>
            </w:r>
          </w:p>
        </w:tc>
        <w:tc>
          <w:tcPr/>
          <w:p>
            <w:pPr>
              <w:pStyle w:val="Compact"/>
            </w:pPr>
            <w:r>
              <w:t xml:space="preserve">0.187</w:t>
            </w:r>
          </w:p>
        </w:tc>
        <w:tc>
          <w:tcPr/>
          <w:p>
            <w:pPr>
              <w:pStyle w:val="Compact"/>
            </w:pPr>
            <w:r>
              <w:t xml:space="preserve">0.131</w:t>
            </w:r>
          </w:p>
        </w:tc>
      </w:tr>
      <w:tr>
        <w:tc>
          <w:tcPr/>
          <w:p>
            <w:pPr>
              <w:pStyle w:val="Compact"/>
            </w:pPr>
            <w:r>
              <w:t xml:space="preserve">FE: pair_id</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FE: year</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gridSpan w:val="8"/>
          </w:tcPr>
          <w:p>
            <w:pPr>
              <w:pStyle w:val="Compact"/>
              <w:numPr>
                <w:ilvl w:val="0"/>
                <w:numId w:val="1001"/>
              </w:numPr>
            </w:pPr>
            <w:r>
              <w:t xml:space="preserve">p &lt; 0.1, ** p &lt; 0.05, *** p &lt; 0.01</w:t>
            </w:r>
          </w:p>
        </w:tc>
      </w:tr>
      <w:tr>
        <w:tc>
          <w:tcPr>
            <w:gridSpan w:val="8"/>
          </w:tcPr>
          <w:p>
            <w:pPr>
              <w:pStyle w:val="Compact"/>
            </w:pPr>
            <w:r>
              <w:t xml:space="preserve">R1: FE-IV on high-capital (HighCapital=1) vs low-capital (HighCapital=0) subsamples; country-specific median threshold (STEP 4).</w:t>
            </w:r>
          </w:p>
        </w:tc>
      </w:tr>
      <w:tr>
        <w:tc>
          <w:tcPr>
            <w:gridSpan w:val="8"/>
          </w:tcPr>
          <w:p>
            <w:pPr>
              <w:pStyle w:val="Compact"/>
            </w:pPr>
            <w:r>
              <w:t xml:space="preserve">R2: Alternative industry weighting (equal 1/10 per industry instead of ALP crosswalk weights).</w:t>
            </w:r>
          </w:p>
        </w:tc>
      </w:tr>
      <w:tr>
        <w:tc>
          <w:tcPr>
            <w:gridSpan w:val="8"/>
          </w:tcPr>
          <w:p>
            <w:pPr>
              <w:pStyle w:val="Compact"/>
            </w:pPr>
            <w:r>
              <w:t xml:space="preserve">R3: SGMM alt lags (3:5): reported in text only (pgmm not compatible with modelsummary mix).</w:t>
            </w:r>
          </w:p>
        </w:tc>
      </w:tr>
      <w:tr>
        <w:tc>
          <w:tcPr>
            <w:gridSpan w:val="8"/>
          </w:tcPr>
          <w:p>
            <w:pPr>
              <w:pStyle w:val="Compact"/>
            </w:pPr>
            <w:r>
              <w:t xml:space="preserve">R4: Placebo - industry weights shuffled across A*10; expect beta ~0. Single-draw shown; full Monte Carlo (999 reps) reported in text (STEP 10).</w:t>
            </w:r>
          </w:p>
        </w:tc>
      </w:tr>
      <w:tr>
        <w:tc>
          <w:tcPr>
            <w:gridSpan w:val="8"/>
          </w:tcPr>
          <w:p>
            <w:pPr>
              <w:pStyle w:val="Compact"/>
            </w:pPr>
            <w:r>
              <w:t xml:space="preserve">R5: Full A*10 sample = main sample (all 10 industries retained).</w:t>
            </w:r>
          </w:p>
        </w:tc>
      </w:tr>
      <w:tr>
        <w:tc>
          <w:tcPr>
            <w:gridSpan w:val="8"/>
          </w:tcPr>
          <w:p>
            <w:pPr>
              <w:pStyle w:val="Compact"/>
            </w:pPr>
            <w:r>
              <w:t xml:space="preserve">R2b: Extended moderator robustness - high-skill (HighSkill=1) vs low-skill (HighSkill=0) subsamples; country-specific median threshold.</w:t>
            </w:r>
          </w:p>
        </w:tc>
      </w:tr>
      <w:tr>
        <w:tc>
          <w:tcPr>
            <w:gridSpan w:val="8"/>
          </w:tcPr>
          <w:p>
            <w:pPr>
              <w:pStyle w:val="Compact"/>
            </w:pPr>
            <w:r>
              <w:t xml:space="preserve">R7 (Table 14): threshold-definition sensitivity using industry-specific median instead of country-specific.</w:t>
            </w:r>
          </w:p>
        </w:tc>
      </w:tr>
      <w:tr>
        <w:tc>
          <w:tcPr>
            <w:gridSpan w:val="8"/>
          </w:tcPr>
          <w:p>
            <w:pPr>
              <w:pStyle w:val="Compact"/>
            </w:pPr>
            <w:r>
              <w:t xml:space="preserve">SE clustered at pair level. * p&lt;0.10, ** p&lt;0.05, *** p&lt;0.01. Alpha = 0.10.</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ECA2F" w14:textId="77777777" w:rsidR="001F1F18" w:rsidRDefault="001F1F18" w:rsidP="00FA55DD">
      <w:r>
        <w:separator/>
      </w:r>
    </w:p>
  </w:endnote>
  <w:endnote w:type="continuationSeparator" w:id="0">
    <w:p w14:paraId="7977A6A9" w14:textId="77777777" w:rsidR="001F1F18" w:rsidRDefault="001F1F18" w:rsidP="00FA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D1780" w14:textId="21CD3F74" w:rsidR="00027DB1" w:rsidRDefault="000355B8" w:rsidP="000355B8">
    <w:pPr>
      <w:tabs>
        <w:tab w:val="left" w:pos="6186"/>
        <w:tab w:val="left" w:pos="6379"/>
        <w:tab w:val="right" w:pos="8504"/>
      </w:tabs>
      <w:jc w:val="left"/>
    </w:pPr>
    <w:r>
      <w:rPr>
        <w:b/>
        <w:bCs/>
        <w:color w:val="074F6A" w:themeColor="accent4" w:themeShade="80"/>
        <w:sz w:val="20"/>
        <w:szCs w:val="20"/>
      </w:rPr>
      <w:tab/>
    </w:r>
    <w:r>
      <w:rPr>
        <w:b/>
        <w:bCs/>
        <w:color w:val="074F6A" w:themeColor="accent4" w:themeShade="80"/>
        <w:sz w:val="20"/>
        <w:szCs w:val="20"/>
      </w:rPr>
      <w:tab/>
    </w:r>
    <w:r>
      <w:rPr>
        <w:b/>
        <w:bCs/>
        <w:color w:val="074F6A" w:themeColor="accent4" w:themeShade="80"/>
        <w:sz w:val="20"/>
        <w:szCs w:val="20"/>
      </w:rPr>
      <w:tab/>
    </w:r>
    <w:r w:rsidR="00FA55DD" w:rsidRPr="00027DB1">
      <w:rPr>
        <w:b/>
        <w:bCs/>
        <w:noProof/>
        <w:color w:val="074F6A" w:themeColor="accent4" w:themeShade="80"/>
        <w:sz w:val="20"/>
        <w:szCs w:val="20"/>
      </w:rPr>
      <mc:AlternateContent>
        <mc:Choice Requires="wps">
          <w:drawing>
            <wp:anchor distT="0" distB="0" distL="114300" distR="114300" simplePos="0" relativeHeight="251667968" behindDoc="0" locked="0" layoutInCell="1" allowOverlap="1" wp14:anchorId="25DC218C" wp14:editId="7646EBA9">
              <wp:simplePos x="0" y="0"/>
              <wp:positionH relativeFrom="column">
                <wp:posOffset>-31750</wp:posOffset>
              </wp:positionH>
              <wp:positionV relativeFrom="paragraph">
                <wp:posOffset>-87084</wp:posOffset>
              </wp:positionV>
              <wp:extent cx="5396248" cy="0"/>
              <wp:effectExtent l="0" t="12700" r="13970" b="12700"/>
              <wp:wrapNone/>
              <wp:docPr id="2136916693" name="Straight Connector 6"/>
              <wp:cNvGraphicFramePr/>
              <a:graphic xmlns:a="http://schemas.openxmlformats.org/drawingml/2006/main">
                <a:graphicData uri="http://schemas.microsoft.com/office/word/2010/wordprocessingShape">
                  <wps:wsp>
                    <wps:cNvCnPr/>
                    <wps:spPr>
                      <a:xfrm>
                        <a:off x="0" y="0"/>
                        <a:ext cx="539624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03F2E" id="Straight Connector 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6.85pt" to="422.4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" strokecolor="#156082 [3204]" strokeweight="1.5pt">
              <v:stroke joinstyle="miter"/>
            </v:line>
          </w:pict>
        </mc:Fallback>
      </mc:AlternateContent>
    </w:r>
    <w:r w:rsidR="00FA55DD" w:rsidRPr="00027DB1">
      <w:rPr>
        <w:b/>
        <w:bCs/>
        <w:color w:val="074F6A" w:themeColor="accent4" w:themeShade="80"/>
        <w:sz w:val="20"/>
        <w:szCs w:val="20"/>
      </w:rPr>
      <w:t xml:space="preserve">Page </w:t>
    </w:r>
    <w:r w:rsidR="00FA55DD" w:rsidRPr="00027DB1">
      <w:rPr>
        <w:b/>
        <w:bCs/>
        <w:color w:val="074F6A" w:themeColor="accent4" w:themeShade="80"/>
        <w:sz w:val="20"/>
        <w:szCs w:val="20"/>
      </w:rPr>
      <w:fldChar w:fldCharType="begin"/>
    </w:r>
    <w:r w:rsidR="00FA55DD" w:rsidRPr="00027DB1">
      <w:rPr>
        <w:b/>
        <w:bCs/>
        <w:color w:val="074F6A" w:themeColor="accent4" w:themeShade="80"/>
        <w:sz w:val="20"/>
        <w:szCs w:val="20"/>
      </w:rPr>
      <w:instrText>PAGE</w:instrText>
    </w:r>
    <w:r w:rsidR="00FA55DD" w:rsidRPr="00027DB1">
      <w:rPr>
        <w:b/>
        <w:bCs/>
        <w:color w:val="074F6A" w:themeColor="accent4" w:themeShade="80"/>
        <w:sz w:val="20"/>
        <w:szCs w:val="20"/>
      </w:rPr>
      <w:fldChar w:fldCharType="separate"/>
    </w:r>
    <w:r w:rsidR="005B5D60" w:rsidRPr="00027DB1">
      <w:rPr>
        <w:b/>
        <w:bCs/>
        <w:color w:val="074F6A" w:themeColor="accent4" w:themeShade="80"/>
        <w:sz w:val="20"/>
        <w:szCs w:val="20"/>
      </w:rPr>
      <w:t>1</w:t>
    </w:r>
    <w:r w:rsidR="00FA55DD" w:rsidRPr="00027DB1">
      <w:rPr>
        <w:b/>
        <w:bCs/>
        <w:color w:val="074F6A" w:themeColor="accent4" w:themeShade="80"/>
        <w:sz w:val="20"/>
        <w:szCs w:val="20"/>
      </w:rPr>
      <w:fldChar w:fldCharType="end"/>
    </w:r>
    <w:r w:rsidR="00FA55DD" w:rsidRPr="00027DB1">
      <w:rPr>
        <w:b/>
        <w:bCs/>
        <w:color w:val="074F6A" w:themeColor="accent4" w:themeShade="80"/>
        <w:sz w:val="20"/>
        <w:szCs w:val="20"/>
      </w:rPr>
      <w:t xml:space="preserve"> | </w:t>
    </w:r>
    <w:r w:rsidR="00FA55DD" w:rsidRPr="00027DB1">
      <w:rPr>
        <w:b/>
        <w:bCs/>
        <w:color w:val="074F6A" w:themeColor="accent4" w:themeShade="80"/>
        <w:sz w:val="20"/>
        <w:szCs w:val="20"/>
      </w:rPr>
      <w:fldChar w:fldCharType="begin"/>
    </w:r>
    <w:r w:rsidR="00FA55DD" w:rsidRPr="00027DB1">
      <w:rPr>
        <w:b/>
        <w:bCs/>
        <w:color w:val="074F6A" w:themeColor="accent4" w:themeShade="80"/>
        <w:sz w:val="20"/>
        <w:szCs w:val="20"/>
      </w:rPr>
      <w:instrText>NUMPAGES</w:instrText>
    </w:r>
    <w:r w:rsidR="00FA55DD" w:rsidRPr="00027DB1">
      <w:rPr>
        <w:b/>
        <w:bCs/>
        <w:color w:val="074F6A" w:themeColor="accent4" w:themeShade="80"/>
        <w:sz w:val="20"/>
        <w:szCs w:val="20"/>
      </w:rPr>
      <w:fldChar w:fldCharType="separate"/>
    </w:r>
    <w:r w:rsidR="005B5D60" w:rsidRPr="00027DB1">
      <w:rPr>
        <w:b/>
        <w:bCs/>
        <w:color w:val="074F6A" w:themeColor="accent4" w:themeShade="80"/>
        <w:sz w:val="20"/>
        <w:szCs w:val="20"/>
      </w:rPr>
      <w:t>2</w:t>
    </w:r>
    <w:r w:rsidR="00FA55DD" w:rsidRPr="00027DB1">
      <w:rPr>
        <w:b/>
        <w:bCs/>
        <w:color w:val="074F6A" w:themeColor="accent4"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EF5F5" w14:textId="77777777" w:rsidR="001F1F18" w:rsidRDefault="001F1F18" w:rsidP="00FA55DD">
      <w:r>
        <w:separator/>
      </w:r>
    </w:p>
  </w:footnote>
  <w:footnote w:type="continuationSeparator" w:id="0">
    <w:p w14:paraId="4E38F6F3" w14:textId="77777777" w:rsidR="001F1F18" w:rsidRDefault="001F1F18" w:rsidP="00FA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8709F4"/>
    <w:multiLevelType w:val="hybridMultilevel"/>
    <w:tmpl w:val="52B2DEC0"/>
    <w:lvl w:ilvl="0" w:tplc="0C1CC872">
      <w:start w:val="1"/>
      <w:numFmt w:val="bullet"/>
      <w:lvlText w:val="●"/>
      <w:lvlJc w:val="left"/>
      <w:pPr>
        <w:ind w:left="720" w:hanging="360"/>
      </w:pPr>
    </w:lvl>
    <w:lvl w:ilvl="1" w:tplc="70B07542">
      <w:start w:val="1"/>
      <w:numFmt w:val="bullet"/>
      <w:lvlText w:val="○"/>
      <w:lvlJc w:val="left"/>
      <w:pPr>
        <w:ind w:left="1440" w:hanging="360"/>
      </w:pPr>
    </w:lvl>
    <w:lvl w:ilvl="2" w:tplc="D6CE4DF4">
      <w:start w:val="1"/>
      <w:numFmt w:val="bullet"/>
      <w:lvlText w:val="■"/>
      <w:lvlJc w:val="left"/>
      <w:pPr>
        <w:ind w:left="2160" w:hanging="360"/>
      </w:pPr>
    </w:lvl>
    <w:lvl w:ilvl="3" w:tplc="E50C937A">
      <w:start w:val="1"/>
      <w:numFmt w:val="bullet"/>
      <w:lvlText w:val="●"/>
      <w:lvlJc w:val="left"/>
      <w:pPr>
        <w:ind w:left="2880" w:hanging="360"/>
      </w:pPr>
    </w:lvl>
    <w:lvl w:ilvl="4" w:tplc="4B160B62">
      <w:start w:val="1"/>
      <w:numFmt w:val="bullet"/>
      <w:lvlText w:val="○"/>
      <w:lvlJc w:val="left"/>
      <w:pPr>
        <w:ind w:left="3600" w:hanging="360"/>
      </w:pPr>
    </w:lvl>
    <w:lvl w:ilvl="5" w:tplc="233298B8">
      <w:start w:val="1"/>
      <w:numFmt w:val="bullet"/>
      <w:lvlText w:val="■"/>
      <w:lvlJc w:val="left"/>
      <w:pPr>
        <w:ind w:left="4320" w:hanging="360"/>
      </w:pPr>
    </w:lvl>
    <w:lvl w:ilvl="6" w:tplc="68CCE196">
      <w:start w:val="1"/>
      <w:numFmt w:val="bullet"/>
      <w:lvlText w:val="●"/>
      <w:lvlJc w:val="left"/>
      <w:pPr>
        <w:ind w:left="5040" w:hanging="360"/>
      </w:pPr>
    </w:lvl>
    <w:lvl w:ilvl="7" w:tplc="FD8A55FA">
      <w:start w:val="1"/>
      <w:numFmt w:val="bullet"/>
      <w:lvlText w:val="●"/>
      <w:lvlJc w:val="left"/>
      <w:pPr>
        <w:ind w:left="5760" w:hanging="360"/>
      </w:pPr>
    </w:lvl>
    <w:lvl w:ilvl="8" w:tplc="B9E657DC">
      <w:start w:val="1"/>
      <w:numFmt w:val="bullet"/>
      <w:lvlText w:val="●"/>
      <w:lvlJc w:val="left"/>
      <w:pPr>
        <w:ind w:left="6480" w:hanging="360"/>
      </w:pPr>
    </w:lvl>
  </w:abstractNum>
  <w:abstractNum w:abstractNumId="1" w15:restartNumberingAfterBreak="0">
    <w:nsid w:val="3C1373E8"/>
    <w:multiLevelType w:val="multilevel"/>
    <w:tmpl w:val="2AC63160"/>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3569739">
    <w:abstractNumId w:val="0"/>
    <w:lvlOverride w:ilvl="0">
      <w:startOverride w:val="1"/>
    </w:lvlOverride>
  </w:num>
  <w:num w:numId="2" w16cid:durableId="4057622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3A"/>
    <w:rsid w:val="00024D90"/>
    <w:rsid w:val="00027DB1"/>
    <w:rsid w:val="0003060E"/>
    <w:rsid w:val="000355B8"/>
    <w:rsid w:val="00050829"/>
    <w:rsid w:val="00054A92"/>
    <w:rsid w:val="000B00BB"/>
    <w:rsid w:val="00166337"/>
    <w:rsid w:val="001D153B"/>
    <w:rsid w:val="001F1F18"/>
    <w:rsid w:val="00277459"/>
    <w:rsid w:val="002E35C6"/>
    <w:rsid w:val="00352858"/>
    <w:rsid w:val="003A585D"/>
    <w:rsid w:val="003C438F"/>
    <w:rsid w:val="00401F71"/>
    <w:rsid w:val="00407DE0"/>
    <w:rsid w:val="00453D17"/>
    <w:rsid w:val="004866C1"/>
    <w:rsid w:val="004B5B78"/>
    <w:rsid w:val="0054540E"/>
    <w:rsid w:val="00570F0E"/>
    <w:rsid w:val="00573D3A"/>
    <w:rsid w:val="005B5D60"/>
    <w:rsid w:val="005D6359"/>
    <w:rsid w:val="006B7ACE"/>
    <w:rsid w:val="006C7891"/>
    <w:rsid w:val="007975EE"/>
    <w:rsid w:val="007A4943"/>
    <w:rsid w:val="0080243F"/>
    <w:rsid w:val="008201E6"/>
    <w:rsid w:val="0083539F"/>
    <w:rsid w:val="00877B0D"/>
    <w:rsid w:val="008C4727"/>
    <w:rsid w:val="00A15F11"/>
    <w:rsid w:val="00AA1648"/>
    <w:rsid w:val="00AD6E30"/>
    <w:rsid w:val="00AE1AEB"/>
    <w:rsid w:val="00B153DC"/>
    <w:rsid w:val="00B501AA"/>
    <w:rsid w:val="00B670E1"/>
    <w:rsid w:val="00B96857"/>
    <w:rsid w:val="00CA19C2"/>
    <w:rsid w:val="00CF5AE2"/>
    <w:rsid w:val="00D30105"/>
    <w:rsid w:val="00D473D4"/>
    <w:rsid w:val="00D62112"/>
    <w:rsid w:val="00DB76F3"/>
    <w:rsid w:val="00DC02AA"/>
    <w:rsid w:val="00DD23D3"/>
    <w:rsid w:val="00E91384"/>
    <w:rsid w:val="00F05F53"/>
    <w:rsid w:val="00F64CE9"/>
    <w:rsid w:val="00F771F7"/>
    <w:rsid w:val="00F77ABD"/>
    <w:rsid w:val="00F81EC3"/>
    <w:rsid w:val="00F97C15"/>
    <w:rsid w:val="00FA55DD"/>
    <w:rsid w:val="00FC49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9534"/>
  <w15:docId w15:val="{FDDD3B3C-5DC1-B147-8C70-0A5BF247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DD"/>
    <w:pPr>
      <w:spacing w:after="160"/>
      <w:jc w:val="both"/>
    </w:pPr>
  </w:style>
  <w:style w:type="paragraph" w:styleId="Heading1">
    <w:name w:val="heading 1"/>
    <w:uiPriority w:val="9"/>
    <w:qFormat/>
    <w:pPr>
      <w:pageBreakBefore/>
      <w:spacing w:before="200" w:after="160"/>
      <w:outlineLvl w:val="0"/>
    </w:pPr>
    <w:rPr>
      <w:b/>
      <w:bCs/>
      <w:color w:val="000000"/>
      <w:sz w:val="40"/>
      <w:szCs w:val="40"/>
    </w:rPr>
  </w:style>
  <w:style w:type="paragraph" w:styleId="Heading2">
    <w:name w:val="heading 2"/>
    <w:uiPriority w:val="9"/>
    <w:unhideWhenUsed/>
    <w:qFormat/>
    <w:pPr>
      <w:spacing w:before="240" w:after="120"/>
      <w:outlineLvl w:val="1"/>
    </w:pPr>
    <w:rPr>
      <w:b/>
      <w:bCs/>
      <w:color w:val="000000"/>
      <w:sz w:val="36"/>
      <w:szCs w:val="3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D60"/>
    <w:pPr>
      <w:spacing w:after="100"/>
    </w:pPr>
  </w:style>
  <w:style w:type="paragraph" w:styleId="TOC2">
    <w:name w:val="toc 2"/>
    <w:basedOn w:val="Normal"/>
    <w:next w:val="Normal"/>
    <w:autoRedefine/>
    <w:uiPriority w:val="39"/>
    <w:unhideWhenUsed/>
    <w:rsid w:val="005B5D60"/>
    <w:pPr>
      <w:spacing w:after="100"/>
      <w:ind w:left="260"/>
    </w:pPr>
  </w:style>
  <w:style w:type="paragraph" w:styleId="NoSpacing">
    <w:name w:val="No Spacing"/>
    <w:aliases w:val="Table Content"/>
    <w:basedOn w:val="Normal"/>
    <w:autoRedefine/>
    <w:uiPriority w:val="1"/>
    <w:qFormat/>
    <w:rsid w:val="00F97C15"/>
    <w:rPr>
      <w:sz w:val="20"/>
      <w:szCs w:val="14"/>
    </w:rPr>
  </w:style>
  <w:style w:type="paragraph" w:styleId="Caption">
    <w:name w:val="caption"/>
    <w:basedOn w:val="Normal"/>
    <w:next w:val="Normal"/>
    <w:uiPriority w:val="35"/>
    <w:unhideWhenUsed/>
    <w:qFormat/>
    <w:rsid w:val="00407DE0"/>
    <w:pPr>
      <w:spacing w:after="200"/>
    </w:pPr>
    <w:rPr>
      <w:i/>
      <w:iCs/>
      <w:color w:val="0E2841" w:themeColor="text2"/>
      <w:sz w:val="18"/>
      <w:szCs w:val="18"/>
    </w:rPr>
  </w:style>
  <w:style w:type="paragraph" w:styleId="TableofFigures">
    <w:name w:val="table of figures"/>
    <w:basedOn w:val="Normal"/>
    <w:next w:val="Normal"/>
    <w:uiPriority w:val="99"/>
    <w:unhideWhenUsed/>
    <w:rsid w:val="00407DE0"/>
  </w:style>
  <w:style w:type="paragraph" w:styleId="Header">
    <w:name w:val="header"/>
    <w:basedOn w:val="Normal"/>
    <w:link w:val="HeaderChar"/>
    <w:uiPriority w:val="99"/>
    <w:unhideWhenUsed/>
    <w:rsid w:val="005D6359"/>
    <w:pPr>
      <w:tabs>
        <w:tab w:val="center" w:pos="4680"/>
        <w:tab w:val="right" w:pos="9360"/>
      </w:tabs>
      <w:jc w:val="center"/>
    </w:pPr>
    <w:rPr>
      <w:b/>
      <w:bCs/>
      <w:color w:val="074F6A" w:themeColor="accent4" w:themeShade="80"/>
      <w:sz w:val="20"/>
      <w:szCs w:val="20"/>
    </w:rPr>
  </w:style>
  <w:style w:type="character" w:customStyle="1" w:styleId="HeaderChar">
    <w:name w:val="Header Char"/>
    <w:basedOn w:val="DefaultParagraphFont"/>
    <w:link w:val="Header"/>
    <w:uiPriority w:val="99"/>
    <w:rsid w:val="005D6359"/>
    <w:rPr>
      <w:b/>
      <w:bCs/>
      <w:color w:val="074F6A" w:themeColor="accent4" w:themeShade="80"/>
      <w:sz w:val="20"/>
      <w:szCs w:val="20"/>
    </w:rPr>
  </w:style>
  <w:style w:type="paragraph" w:styleId="Footer">
    <w:name w:val="footer"/>
    <w:basedOn w:val="Normal"/>
    <w:link w:val="FooterChar"/>
    <w:uiPriority w:val="99"/>
    <w:unhideWhenUsed/>
    <w:rsid w:val="005D6359"/>
    <w:pPr>
      <w:jc w:val="right"/>
    </w:pPr>
    <w:rPr>
      <w:b/>
      <w:bCs/>
      <w:color w:val="074F6A" w:themeColor="accent4" w:themeShade="80"/>
      <w:sz w:val="20"/>
      <w:szCs w:val="20"/>
    </w:rPr>
  </w:style>
  <w:style w:type="character" w:customStyle="1" w:styleId="FooterChar">
    <w:name w:val="Footer Char"/>
    <w:basedOn w:val="DefaultParagraphFont"/>
    <w:link w:val="Footer"/>
    <w:uiPriority w:val="99"/>
    <w:rsid w:val="005D6359"/>
    <w:rPr>
      <w:b/>
      <w:bCs/>
      <w:color w:val="074F6A" w:themeColor="accent4"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982/ECTA19815" TargetMode="External"/><Relationship Id="rId26" Type="http://schemas.openxmlformats.org/officeDocument/2006/relationships/hyperlink" Target="https://doi.org/10.1093/qje/qjt032" TargetMode="External"/><Relationship Id="rId39" Type="http://schemas.openxmlformats.org/officeDocument/2006/relationships/image" Target="media/image17.png"/><Relationship Id="rId21" Type="http://schemas.openxmlformats.org/officeDocument/2006/relationships/hyperlink" Target="https://doi.org/10.1126/science.adj0998" TargetMode="External"/><Relationship Id="rId34" Type="http://schemas.openxmlformats.org/officeDocument/2006/relationships/image" Target="media/image12.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86/338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307/2393553"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257/jep.9.4.97" TargetMode="External"/><Relationship Id="rId28" Type="http://schemas.openxmlformats.org/officeDocument/2006/relationships/hyperlink" Target="https://doi.org/10.1093/qje/qjaa004"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doi.org/10.1787/5f65ff7e-en" TargetMode="External"/><Relationship Id="rId31" Type="http://schemas.openxmlformats.org/officeDocument/2006/relationships/hyperlink" Target="https://doi.org/10.1257/aer.20181047"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93/epolic/eiae042" TargetMode="External"/><Relationship Id="rId27" Type="http://schemas.openxmlformats.org/officeDocument/2006/relationships/hyperlink" Target="https://doi.org/10.1353/eca.2016.0002" TargetMode="External"/><Relationship Id="rId30" Type="http://schemas.openxmlformats.org/officeDocument/2006/relationships/hyperlink" Target="https://doi.org/10.1162/rest_a_00754" TargetMode="External"/><Relationship Id="rId35" Type="http://schemas.openxmlformats.org/officeDocument/2006/relationships/image" Target="media/image13.png"/><Relationship Id="rId43" Type="http://schemas.openxmlformats.org/officeDocument/2006/relationships/footer" Target="footer1.xml"/><Relationship Id="rId8" Type="http://schemas.openxmlformats.org/officeDocument/2006/relationships/image" Target="media/image1.png"/><Relationship Id="rIdCover106" Type="http://schemas.openxmlformats.org/officeDocument/2006/relationships/image" Target="media/coverLine_b.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86/705716" TargetMode="External"/><Relationship Id="rId25" Type="http://schemas.openxmlformats.org/officeDocument/2006/relationships/hyperlink" Target="https://doi.org/10.1257/mac.20180386" TargetMode="External"/><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hyperlink" Target="https://doi.org/10.1002/smj.3286" TargetMode="External"/><Relationship Id="rId41"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hyperlink" Target="https://doi.org/10.1016/j.respol.2013.09.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7AA7-E275-404D-9EE7-DFE69AE8D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67</Pages>
  <Words>14923</Words>
  <Characters>85067</Characters>
  <Application>Microsoft Office Word</Application>
  <DocSecurity>0</DocSecurity>
  <Lines>708</Lines>
  <Paragraphs>199</Paragraphs>
  <ScaleCrop>false</ScaleCrop>
  <Company/>
  <LinksUpToDate>false</LinksUpToDate>
  <CharactersWithSpaces>99791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and the Labor Income Share: Evidence from OECD and Emerging-Market Industries, with a Focus on Vietnam and Southeast Asia</dc:title>
  <dc:creator>Tran Chanh Truc; Nguyen Ngoc Xuan Thao</dc:creator>
  <cp:lastModifiedBy>Chánh Trực Trần</cp:lastModifiedBy>
  <cp:revision>30</cp:revision>
  <dcterms:created xsi:type="dcterms:W3CDTF">2026-07-14T17:11:00Z</dcterms:created>
  <dcterms:modified xsi:type="dcterms:W3CDTF">2026-07-21T19:29:00Z</dcterms:modified>
</cp:coreProperties>
</file>