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CSI AI Visibility Baseline Comparison</w:t>
      </w:r>
    </w:p>
    <w:p>
      <w:pPr>
        <w:jc w:val="left"/>
      </w:pPr>
      <w:r>
        <w:rPr>
          <w:rFonts w:ascii="Arial" w:hAnsi="Arial"/>
          <w:b/>
          <w:color w:val="17365D"/>
          <w:sz w:val="24"/>
        </w:rPr>
        <w:t>27 August 2026 baseline compared with 15 September 2026 follow up</w:t>
      </w:r>
    </w:p>
    <w:p>
      <w:r>
        <w:t>This report compares 400 AI observations from each run across Gemini, Perplexity, Claude, and OpenAI. It assesses changes in mentions, citations, recommendation strength, platform visibility, and independently corroborated authority. The September run completed with 100 successful observations on every platform.</w:t>
      </w:r>
    </w:p>
    <w:tbl>
      <w:tblPr>
        <w:tblW w:type="auto" w:w="0"/>
        <w:jc w:val="center"/>
        <w:tblLayout w:type="fixed"/>
        <w:tblLook w:firstColumn="1" w:firstRow="1" w:lastColumn="0" w:lastRow="0" w:noHBand="0" w:noVBand="1" w:val="04A0"/>
        <w:tblBorders>
          <w:top w:val="single" w:sz="8" w:color="B4C7E7"/>
          <w:left w:val="single" w:sz="8" w:color="B4C7E7"/>
          <w:bottom w:val="single" w:sz="8" w:color="B4C7E7"/>
          <w:right w:val="single" w:sz="8" w:color="B4C7E7"/>
          <w:insideH w:val="single" w:sz="8" w:color="B4C7E7"/>
          <w:insideV w:val="single" w:sz="8" w:color="B4C7E7"/>
        </w:tblBorders>
      </w:tblPr>
      <w:tblGrid>
        <w:gridCol w:w="9648"/>
      </w:tblGrid>
      <w:tr>
        <w:tc>
          <w:tcPr>
            <w:tcW w:type="dxa" w:w="10224"/>
            <w:shd w:fill="EAF1F8"/>
          </w:tcPr>
          <w:p>
            <w:pPr>
              <w:spacing w:after="80"/>
            </w:pPr>
            <w:r>
              <w:rPr>
                <w:rFonts w:ascii="Arial" w:hAnsi="Arial"/>
                <w:b/>
                <w:color w:val="17365D"/>
                <w:sz w:val="22"/>
              </w:rPr>
              <w:t>Main conclusion</w:t>
            </w:r>
          </w:p>
          <w:p>
            <w:pPr>
              <w:spacing w:after="40" w:line="252" w:lineRule="auto"/>
            </w:pPr>
            <w:r>
              <w:rPr>
                <w:rFonts w:ascii="Arial" w:hAnsi="Arial"/>
                <w:sz w:val="19"/>
              </w:rPr>
              <w:t>CSI’s overall Visibility Index increased from 33.5 to 36.3. Citation share rose eight percentage points, but Perplexity produced nearly all of the platform-level gain. Gemini improved only slightly, Claude declined, and OpenAI remained essentially flat. Independent authority qualified in 33 of 400 observations, showing that CSI is more visible than it is independently corroborated.</w:t>
            </w:r>
          </w:p>
        </w:tc>
      </w:tr>
    </w:tbl>
    <w:p>
      <w:pPr>
        <w:spacing w:after="20"/>
      </w:pPr>
    </w:p>
    <w:p>
      <w:pPr>
        <w:pStyle w:val="Heading1"/>
      </w:pPr>
      <w:r>
        <w:t>Executive scorecard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c>
          <w:tcPr>
            <w:tcW w:type="dxa" w:w="4032"/>
            <w:vAlign w:val="center"/>
            <w:shd w:fill="17365D"/>
          </w:tcPr>
          <w:p>
            <w:pPr>
              <w:spacing w:after="0"/>
              <w:jc w:val="center"/>
            </w:pPr>
            <w:r/>
            <w:r>
              <w:rPr>
                <w:rFonts w:ascii="Arial" w:hAnsi="Arial"/>
                <w:b/>
                <w:color w:val="FFFFFF"/>
                <w:sz w:val="16"/>
              </w:rPr>
              <w:t>Metric</w:t>
            </w:r>
          </w:p>
        </w:tc>
        <w:tc>
          <w:tcPr>
            <w:tcW w:type="dxa" w:w="1728"/>
            <w:vAlign w:val="center"/>
            <w:shd w:fill="17365D"/>
          </w:tcPr>
          <w:p>
            <w:pPr>
              <w:spacing w:after="0"/>
              <w:jc w:val="center"/>
            </w:pPr>
            <w:r/>
            <w:r>
              <w:rPr>
                <w:rFonts w:ascii="Arial" w:hAnsi="Arial"/>
                <w:b/>
                <w:color w:val="FFFFFF"/>
                <w:sz w:val="16"/>
              </w:rPr>
              <w:t>27 Aug</w:t>
            </w:r>
          </w:p>
        </w:tc>
        <w:tc>
          <w:tcPr>
            <w:tcW w:type="dxa" w:w="1728"/>
            <w:vAlign w:val="center"/>
            <w:shd w:fill="17365D"/>
          </w:tcPr>
          <w:p>
            <w:pPr>
              <w:spacing w:after="0"/>
              <w:jc w:val="center"/>
            </w:pPr>
            <w:r/>
            <w:r>
              <w:rPr>
                <w:rFonts w:ascii="Arial" w:hAnsi="Arial"/>
                <w:b/>
                <w:color w:val="FFFFFF"/>
                <w:sz w:val="16"/>
              </w:rPr>
              <w:t>15 Sep</w:t>
            </w:r>
          </w:p>
        </w:tc>
        <w:tc>
          <w:tcPr>
            <w:tcW w:type="dxa" w:w="1728"/>
            <w:vAlign w:val="center"/>
            <w:shd w:fill="17365D"/>
          </w:tcPr>
          <w:p>
            <w:pPr>
              <w:spacing w:after="0"/>
              <w:jc w:val="center"/>
            </w:pPr>
            <w:r/>
            <w:r>
              <w:rPr>
                <w:rFonts w:ascii="Arial" w:hAnsi="Arial"/>
                <w:b/>
                <w:color w:val="FFFFFF"/>
                <w:sz w:val="16"/>
              </w:rPr>
              <w:t>Change</w:t>
            </w:r>
          </w:p>
        </w:tc>
      </w:tr>
      <w:tr>
        <w:tc>
          <w:tcPr>
            <w:tcW w:type="dxa" w:w="4032"/>
            <w:vAlign w:val="center"/>
          </w:tcPr>
          <w:p>
            <w:pPr>
              <w:spacing w:after="0"/>
              <w:jc w:val="left"/>
            </w:pPr>
            <w:r/>
            <w:r>
              <w:rPr>
                <w:rFonts w:ascii="Arial" w:hAnsi="Arial"/>
                <w:b w:val="0"/>
                <w:color w:val="000000"/>
                <w:sz w:val="18"/>
              </w:rPr>
              <w:t>Overall Visibility Index</w:t>
            </w:r>
          </w:p>
        </w:tc>
        <w:tc>
          <w:tcPr>
            <w:tcW w:type="dxa" w:w="1728"/>
            <w:vAlign w:val="center"/>
          </w:tcPr>
          <w:p>
            <w:pPr>
              <w:spacing w:after="0"/>
              <w:jc w:val="center"/>
            </w:pPr>
            <w:r/>
            <w:r>
              <w:rPr>
                <w:rFonts w:ascii="Arial" w:hAnsi="Arial"/>
                <w:b w:val="0"/>
                <w:color w:val="000000"/>
                <w:sz w:val="18"/>
              </w:rPr>
              <w:t>33.5</w:t>
            </w:r>
          </w:p>
        </w:tc>
        <w:tc>
          <w:tcPr>
            <w:tcW w:type="dxa" w:w="1728"/>
            <w:vAlign w:val="center"/>
          </w:tcPr>
          <w:p>
            <w:pPr>
              <w:spacing w:after="0"/>
              <w:jc w:val="center"/>
            </w:pPr>
            <w:r/>
            <w:r>
              <w:rPr>
                <w:rFonts w:ascii="Arial" w:hAnsi="Arial"/>
                <w:b w:val="0"/>
                <w:color w:val="000000"/>
                <w:sz w:val="18"/>
              </w:rPr>
              <w:t>36.3</w:t>
            </w:r>
          </w:p>
        </w:tc>
        <w:tc>
          <w:tcPr>
            <w:tcW w:type="dxa" w:w="1728"/>
            <w:vAlign w:val="center"/>
          </w:tcPr>
          <w:p>
            <w:pPr>
              <w:spacing w:after="0"/>
              <w:jc w:val="center"/>
            </w:pPr>
            <w:r/>
            <w:r>
              <w:rPr>
                <w:rFonts w:ascii="Arial" w:hAnsi="Arial"/>
                <w:b w:val="0"/>
                <w:color w:val="000000"/>
                <w:sz w:val="18"/>
              </w:rPr>
              <w:t>+2.8</w:t>
            </w:r>
          </w:p>
        </w:tc>
      </w:tr>
      <w:tr>
        <w:tc>
          <w:tcPr>
            <w:tcW w:type="dxa" w:w="4032"/>
            <w:vAlign w:val="center"/>
            <w:shd w:fill="F3F6F9"/>
          </w:tcPr>
          <w:p>
            <w:pPr>
              <w:spacing w:after="0"/>
              <w:jc w:val="left"/>
            </w:pPr>
            <w:r/>
            <w:r>
              <w:rPr>
                <w:rFonts w:ascii="Arial" w:hAnsi="Arial"/>
                <w:b w:val="0"/>
                <w:color w:val="000000"/>
                <w:sz w:val="18"/>
              </w:rPr>
              <w:t>Mention share</w:t>
            </w:r>
          </w:p>
        </w:tc>
        <w:tc>
          <w:tcPr>
            <w:tcW w:type="dxa" w:w="1728"/>
            <w:vAlign w:val="center"/>
            <w:shd w:fill="F3F6F9"/>
          </w:tcPr>
          <w:p>
            <w:pPr>
              <w:spacing w:after="0"/>
              <w:jc w:val="center"/>
            </w:pPr>
            <w:r/>
            <w:r>
              <w:rPr>
                <w:rFonts w:ascii="Arial" w:hAnsi="Arial"/>
                <w:b w:val="0"/>
                <w:color w:val="000000"/>
                <w:sz w:val="18"/>
              </w:rPr>
              <w:t>40.8%</w:t>
            </w:r>
          </w:p>
        </w:tc>
        <w:tc>
          <w:tcPr>
            <w:tcW w:type="dxa" w:w="1728"/>
            <w:vAlign w:val="center"/>
            <w:shd w:fill="F3F6F9"/>
          </w:tcPr>
          <w:p>
            <w:pPr>
              <w:spacing w:after="0"/>
              <w:jc w:val="center"/>
            </w:pPr>
            <w:r/>
            <w:r>
              <w:rPr>
                <w:rFonts w:ascii="Arial" w:hAnsi="Arial"/>
                <w:b w:val="0"/>
                <w:color w:val="000000"/>
                <w:sz w:val="18"/>
              </w:rPr>
              <w:t>42.5%</w:t>
            </w:r>
          </w:p>
        </w:tc>
        <w:tc>
          <w:tcPr>
            <w:tcW w:type="dxa" w:w="1728"/>
            <w:vAlign w:val="center"/>
            <w:shd w:fill="F3F6F9"/>
          </w:tcPr>
          <w:p>
            <w:pPr>
              <w:spacing w:after="0"/>
              <w:jc w:val="center"/>
            </w:pPr>
            <w:r/>
            <w:r>
              <w:rPr>
                <w:rFonts w:ascii="Arial" w:hAnsi="Arial"/>
                <w:b w:val="0"/>
                <w:color w:val="000000"/>
                <w:sz w:val="18"/>
              </w:rPr>
              <w:t>+1.8 pp</w:t>
            </w:r>
          </w:p>
        </w:tc>
      </w:tr>
      <w:tr>
        <w:tc>
          <w:tcPr>
            <w:tcW w:type="dxa" w:w="4032"/>
            <w:vAlign w:val="center"/>
          </w:tcPr>
          <w:p>
            <w:pPr>
              <w:spacing w:after="0"/>
              <w:jc w:val="left"/>
            </w:pPr>
            <w:r/>
            <w:r>
              <w:rPr>
                <w:rFonts w:ascii="Arial" w:hAnsi="Arial"/>
                <w:b w:val="0"/>
                <w:color w:val="000000"/>
                <w:sz w:val="18"/>
              </w:rPr>
              <w:t>Citation share</w:t>
            </w:r>
          </w:p>
        </w:tc>
        <w:tc>
          <w:tcPr>
            <w:tcW w:type="dxa" w:w="1728"/>
            <w:vAlign w:val="center"/>
          </w:tcPr>
          <w:p>
            <w:pPr>
              <w:spacing w:after="0"/>
              <w:jc w:val="center"/>
            </w:pPr>
            <w:r/>
            <w:r>
              <w:rPr>
                <w:rFonts w:ascii="Arial" w:hAnsi="Arial"/>
                <w:b w:val="0"/>
                <w:color w:val="000000"/>
                <w:sz w:val="18"/>
              </w:rPr>
              <w:t>51.3%</w:t>
            </w:r>
          </w:p>
        </w:tc>
        <w:tc>
          <w:tcPr>
            <w:tcW w:type="dxa" w:w="1728"/>
            <w:vAlign w:val="center"/>
          </w:tcPr>
          <w:p>
            <w:pPr>
              <w:spacing w:after="0"/>
              <w:jc w:val="center"/>
            </w:pPr>
            <w:r/>
            <w:r>
              <w:rPr>
                <w:rFonts w:ascii="Arial" w:hAnsi="Arial"/>
                <w:b w:val="0"/>
                <w:color w:val="000000"/>
                <w:sz w:val="18"/>
              </w:rPr>
              <w:t>59.3%</w:t>
            </w:r>
          </w:p>
        </w:tc>
        <w:tc>
          <w:tcPr>
            <w:tcW w:type="dxa" w:w="1728"/>
            <w:vAlign w:val="center"/>
          </w:tcPr>
          <w:p>
            <w:pPr>
              <w:spacing w:after="0"/>
              <w:jc w:val="center"/>
            </w:pPr>
            <w:r/>
            <w:r>
              <w:rPr>
                <w:rFonts w:ascii="Arial" w:hAnsi="Arial"/>
                <w:b w:val="0"/>
                <w:color w:val="000000"/>
                <w:sz w:val="18"/>
              </w:rPr>
              <w:t>+8.0 pp</w:t>
            </w:r>
          </w:p>
        </w:tc>
      </w:tr>
      <w:tr>
        <w:tc>
          <w:tcPr>
            <w:tcW w:type="dxa" w:w="4032"/>
            <w:vAlign w:val="center"/>
            <w:shd w:fill="F3F6F9"/>
          </w:tcPr>
          <w:p>
            <w:pPr>
              <w:spacing w:after="0"/>
              <w:jc w:val="left"/>
            </w:pPr>
            <w:r/>
            <w:r>
              <w:rPr>
                <w:rFonts w:ascii="Arial" w:hAnsi="Arial"/>
                <w:b w:val="0"/>
                <w:color w:val="000000"/>
                <w:sz w:val="18"/>
              </w:rPr>
              <w:t>Recommendation share</w:t>
            </w:r>
          </w:p>
        </w:tc>
        <w:tc>
          <w:tcPr>
            <w:tcW w:type="dxa" w:w="1728"/>
            <w:vAlign w:val="center"/>
            <w:shd w:fill="F3F6F9"/>
          </w:tcPr>
          <w:p>
            <w:pPr>
              <w:spacing w:after="0"/>
              <w:jc w:val="center"/>
            </w:pPr>
            <w:r/>
            <w:r>
              <w:rPr>
                <w:rFonts w:ascii="Arial" w:hAnsi="Arial"/>
                <w:b w:val="0"/>
                <w:color w:val="000000"/>
                <w:sz w:val="18"/>
              </w:rPr>
              <w:t>19.3%</w:t>
            </w:r>
          </w:p>
        </w:tc>
        <w:tc>
          <w:tcPr>
            <w:tcW w:type="dxa" w:w="1728"/>
            <w:vAlign w:val="center"/>
            <w:shd w:fill="F3F6F9"/>
          </w:tcPr>
          <w:p>
            <w:pPr>
              <w:spacing w:after="0"/>
              <w:jc w:val="center"/>
            </w:pPr>
            <w:r/>
            <w:r>
              <w:rPr>
                <w:rFonts w:ascii="Arial" w:hAnsi="Arial"/>
                <w:b w:val="0"/>
                <w:color w:val="000000"/>
                <w:sz w:val="18"/>
              </w:rPr>
              <w:t>20.8%</w:t>
            </w:r>
          </w:p>
        </w:tc>
        <w:tc>
          <w:tcPr>
            <w:tcW w:type="dxa" w:w="1728"/>
            <w:vAlign w:val="center"/>
            <w:shd w:fill="F3F6F9"/>
          </w:tcPr>
          <w:p>
            <w:pPr>
              <w:spacing w:after="0"/>
              <w:jc w:val="center"/>
            </w:pPr>
            <w:r/>
            <w:r>
              <w:rPr>
                <w:rFonts w:ascii="Arial" w:hAnsi="Arial"/>
                <w:b w:val="0"/>
                <w:color w:val="000000"/>
                <w:sz w:val="18"/>
              </w:rPr>
              <w:t>+1.5 pp</w:t>
            </w:r>
          </w:p>
        </w:tc>
      </w:tr>
      <w:tr>
        <w:tc>
          <w:tcPr>
            <w:tcW w:type="dxa" w:w="4032"/>
            <w:vAlign w:val="center"/>
          </w:tcPr>
          <w:p>
            <w:pPr>
              <w:spacing w:after="0"/>
              <w:jc w:val="left"/>
            </w:pPr>
            <w:r/>
            <w:r>
              <w:rPr>
                <w:rFonts w:ascii="Arial" w:hAnsi="Arial"/>
                <w:b w:val="0"/>
                <w:color w:val="000000"/>
                <w:sz w:val="18"/>
              </w:rPr>
              <w:t>CSI source frequency</w:t>
            </w:r>
          </w:p>
        </w:tc>
        <w:tc>
          <w:tcPr>
            <w:tcW w:type="dxa" w:w="1728"/>
            <w:vAlign w:val="center"/>
          </w:tcPr>
          <w:p>
            <w:pPr>
              <w:spacing w:after="0"/>
              <w:jc w:val="center"/>
            </w:pPr>
            <w:r/>
            <w:r>
              <w:rPr>
                <w:rFonts w:ascii="Arial" w:hAnsi="Arial"/>
                <w:b w:val="0"/>
                <w:color w:val="000000"/>
                <w:sz w:val="18"/>
              </w:rPr>
              <w:t>50.5%</w:t>
            </w:r>
          </w:p>
        </w:tc>
        <w:tc>
          <w:tcPr>
            <w:tcW w:type="dxa" w:w="1728"/>
            <w:vAlign w:val="center"/>
          </w:tcPr>
          <w:p>
            <w:pPr>
              <w:spacing w:after="0"/>
              <w:jc w:val="center"/>
            </w:pPr>
            <w:r/>
            <w:r>
              <w:rPr>
                <w:rFonts w:ascii="Arial" w:hAnsi="Arial"/>
                <w:b w:val="0"/>
                <w:color w:val="000000"/>
                <w:sz w:val="18"/>
              </w:rPr>
              <w:t>58.5%</w:t>
            </w:r>
          </w:p>
        </w:tc>
        <w:tc>
          <w:tcPr>
            <w:tcW w:type="dxa" w:w="1728"/>
            <w:vAlign w:val="center"/>
          </w:tcPr>
          <w:p>
            <w:pPr>
              <w:spacing w:after="0"/>
              <w:jc w:val="center"/>
            </w:pPr>
            <w:r/>
            <w:r>
              <w:rPr>
                <w:rFonts w:ascii="Arial" w:hAnsi="Arial"/>
                <w:b w:val="0"/>
                <w:color w:val="000000"/>
                <w:sz w:val="18"/>
              </w:rPr>
              <w:t>+8.0 pp</w:t>
            </w:r>
          </w:p>
        </w:tc>
      </w:tr>
      <w:tr>
        <w:tc>
          <w:tcPr>
            <w:tcW w:type="dxa" w:w="4032"/>
            <w:vAlign w:val="center"/>
            <w:shd w:fill="F3F6F9"/>
          </w:tcPr>
          <w:p>
            <w:pPr>
              <w:spacing w:after="0"/>
              <w:jc w:val="left"/>
            </w:pPr>
            <w:r/>
            <w:r>
              <w:rPr>
                <w:rFonts w:ascii="Arial" w:hAnsi="Arial"/>
                <w:b w:val="0"/>
                <w:color w:val="000000"/>
                <w:sz w:val="18"/>
              </w:rPr>
              <w:t>Independent authority</w:t>
            </w:r>
          </w:p>
        </w:tc>
        <w:tc>
          <w:tcPr>
            <w:tcW w:type="dxa" w:w="1728"/>
            <w:vAlign w:val="center"/>
            <w:shd w:fill="F3F6F9"/>
          </w:tcPr>
          <w:p>
            <w:pPr>
              <w:spacing w:after="0"/>
              <w:jc w:val="center"/>
            </w:pPr>
            <w:r/>
            <w:r>
              <w:rPr>
                <w:rFonts w:ascii="Arial" w:hAnsi="Arial"/>
                <w:b w:val="0"/>
                <w:color w:val="000000"/>
                <w:sz w:val="18"/>
              </w:rPr>
              <w:t>Not populated</w:t>
            </w:r>
          </w:p>
        </w:tc>
        <w:tc>
          <w:tcPr>
            <w:tcW w:type="dxa" w:w="1728"/>
            <w:vAlign w:val="center"/>
            <w:shd w:fill="F3F6F9"/>
          </w:tcPr>
          <w:p>
            <w:pPr>
              <w:spacing w:after="0"/>
              <w:jc w:val="center"/>
            </w:pPr>
            <w:r/>
            <w:r>
              <w:rPr>
                <w:rFonts w:ascii="Arial" w:hAnsi="Arial"/>
                <w:b w:val="0"/>
                <w:color w:val="000000"/>
                <w:sz w:val="18"/>
              </w:rPr>
              <w:t>8.3%</w:t>
            </w:r>
          </w:p>
        </w:tc>
        <w:tc>
          <w:tcPr>
            <w:tcW w:type="dxa" w:w="1728"/>
            <w:vAlign w:val="center"/>
            <w:shd w:fill="F3F6F9"/>
          </w:tcPr>
          <w:p>
            <w:pPr>
              <w:spacing w:after="0"/>
              <w:jc w:val="center"/>
            </w:pPr>
            <w:r/>
            <w:r>
              <w:rPr>
                <w:rFonts w:ascii="Arial" w:hAnsi="Arial"/>
                <w:b w:val="0"/>
                <w:color w:val="000000"/>
                <w:sz w:val="18"/>
              </w:rPr>
              <w:t>33 of 400</w:t>
            </w:r>
          </w:p>
        </w:tc>
      </w:tr>
    </w:tbl>
    <w:p>
      <w:pPr>
        <w:spacing w:after="0"/>
      </w:pPr>
    </w:p>
    <w:p>
      <w:r>
        <w:rPr>
          <w:i/>
        </w:rPr>
        <w:t>The broad citation gain is real, but CSI-controlled source frequency also increased from 202 to 234 observations. The next phase should convert owned-source visibility into decision-level recommendations and claim-matched third-party evidence.</w:t>
      </w:r>
    </w:p>
    <w:p>
      <w:r>
        <w:br w:type="page"/>
      </w:r>
    </w:p>
    <w:p>
      <w:pPr>
        <w:pStyle w:val="Heading1"/>
      </w:pPr>
      <w:r>
        <w:t>Platform performance</w:t>
      </w:r>
    </w:p>
    <w:p>
      <w:pPr>
        <w:jc w:val="center"/>
      </w:pPr>
      <w:r>
        <w:drawing>
          <wp:inline xmlns:a="http://schemas.openxmlformats.org/drawingml/2006/main" xmlns:pic="http://schemas.openxmlformats.org/drawingml/2006/picture">
            <wp:extent cx="6080760" cy="2463093"/>
            <wp:docPr id="1" name="Picture 1"/>
            <wp:cNvGraphicFramePr>
              <a:graphicFrameLocks noChangeAspect="1"/>
            </wp:cNvGraphicFramePr>
            <a:graphic>
              <a:graphicData uri="http://schemas.openxmlformats.org/drawingml/2006/picture">
                <pic:pic>
                  <pic:nvPicPr>
                    <pic:cNvPr id="0" name="platform_index_comparison.png"/>
                    <pic:cNvPicPr/>
                  </pic:nvPicPr>
                  <pic:blipFill>
                    <a:blip r:embed="rId11"/>
                    <a:stretch>
                      <a:fillRect/>
                    </a:stretch>
                  </pic:blipFill>
                  <pic:spPr>
                    <a:xfrm>
                      <a:off x="0" y="0"/>
                      <a:ext cx="6080760" cy="2463093"/>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61"/>
        <w:gridCol w:w="1461"/>
        <w:gridCol w:w="1461"/>
        <w:gridCol w:w="1461"/>
        <w:gridCol w:w="1461"/>
        <w:gridCol w:w="1461"/>
        <w:gridCol w:w="1461"/>
      </w:tblGrid>
      <w:tr>
        <w:tc>
          <w:tcPr>
            <w:tcW w:type="dxa" w:w="1800"/>
            <w:vAlign w:val="center"/>
            <w:shd w:fill="17365D"/>
          </w:tcPr>
          <w:p>
            <w:pPr>
              <w:spacing w:after="0"/>
              <w:jc w:val="center"/>
            </w:pPr>
            <w:r/>
            <w:r>
              <w:rPr>
                <w:rFonts w:ascii="Arial" w:hAnsi="Arial"/>
                <w:b/>
                <w:color w:val="FFFFFF"/>
                <w:sz w:val="16"/>
              </w:rPr>
              <w:t>Platform</w:t>
            </w:r>
          </w:p>
        </w:tc>
        <w:tc>
          <w:tcPr>
            <w:tcW w:type="dxa" w:w="1224"/>
            <w:vAlign w:val="center"/>
            <w:shd w:fill="17365D"/>
          </w:tcPr>
          <w:p>
            <w:pPr>
              <w:spacing w:after="0"/>
              <w:jc w:val="center"/>
            </w:pPr>
            <w:r/>
            <w:r>
              <w:rPr>
                <w:rFonts w:ascii="Arial" w:hAnsi="Arial"/>
                <w:b/>
                <w:color w:val="FFFFFF"/>
                <w:sz w:val="16"/>
              </w:rPr>
              <w:t>Index 27 Aug</w:t>
            </w:r>
          </w:p>
        </w:tc>
        <w:tc>
          <w:tcPr>
            <w:tcW w:type="dxa" w:w="1224"/>
            <w:vAlign w:val="center"/>
            <w:shd w:fill="17365D"/>
          </w:tcPr>
          <w:p>
            <w:pPr>
              <w:spacing w:after="0"/>
              <w:jc w:val="center"/>
            </w:pPr>
            <w:r/>
            <w:r>
              <w:rPr>
                <w:rFonts w:ascii="Arial" w:hAnsi="Arial"/>
                <w:b/>
                <w:color w:val="FFFFFF"/>
                <w:sz w:val="16"/>
              </w:rPr>
              <w:t>Index 15 Sep</w:t>
            </w:r>
          </w:p>
        </w:tc>
        <w:tc>
          <w:tcPr>
            <w:tcW w:type="dxa" w:w="1008"/>
            <w:vAlign w:val="center"/>
            <w:shd w:fill="17365D"/>
          </w:tcPr>
          <w:p>
            <w:pPr>
              <w:spacing w:after="0"/>
              <w:jc w:val="center"/>
            </w:pPr>
            <w:r/>
            <w:r>
              <w:rPr>
                <w:rFonts w:ascii="Arial" w:hAnsi="Arial"/>
                <w:b/>
                <w:color w:val="FFFFFF"/>
                <w:sz w:val="16"/>
              </w:rPr>
              <w:t>Delta</w:t>
            </w:r>
          </w:p>
        </w:tc>
        <w:tc>
          <w:tcPr>
            <w:tcW w:type="dxa" w:w="1224"/>
            <w:vAlign w:val="center"/>
            <w:shd w:fill="17365D"/>
          </w:tcPr>
          <w:p>
            <w:pPr>
              <w:spacing w:after="0"/>
              <w:jc w:val="center"/>
            </w:pPr>
            <w:r/>
            <w:r>
              <w:rPr>
                <w:rFonts w:ascii="Arial" w:hAnsi="Arial"/>
                <w:b/>
                <w:color w:val="FFFFFF"/>
                <w:sz w:val="16"/>
              </w:rPr>
              <w:t>Mention Δ</w:t>
            </w:r>
          </w:p>
        </w:tc>
        <w:tc>
          <w:tcPr>
            <w:tcW w:type="dxa" w:w="1224"/>
            <w:vAlign w:val="center"/>
            <w:shd w:fill="17365D"/>
          </w:tcPr>
          <w:p>
            <w:pPr>
              <w:spacing w:after="0"/>
              <w:jc w:val="center"/>
            </w:pPr>
            <w:r/>
            <w:r>
              <w:rPr>
                <w:rFonts w:ascii="Arial" w:hAnsi="Arial"/>
                <w:b/>
                <w:color w:val="FFFFFF"/>
                <w:sz w:val="16"/>
              </w:rPr>
              <w:t>Citation Δ</w:t>
            </w:r>
          </w:p>
        </w:tc>
        <w:tc>
          <w:tcPr>
            <w:tcW w:type="dxa" w:w="1512"/>
            <w:vAlign w:val="center"/>
            <w:shd w:fill="17365D"/>
          </w:tcPr>
          <w:p>
            <w:pPr>
              <w:spacing w:after="0"/>
              <w:jc w:val="center"/>
            </w:pPr>
            <w:r/>
            <w:r>
              <w:rPr>
                <w:rFonts w:ascii="Arial" w:hAnsi="Arial"/>
                <w:b/>
                <w:color w:val="FFFFFF"/>
                <w:sz w:val="16"/>
              </w:rPr>
              <w:t>Rec. Δ</w:t>
            </w:r>
          </w:p>
        </w:tc>
      </w:tr>
      <w:tr>
        <w:tc>
          <w:tcPr>
            <w:tcW w:type="dxa" w:w="1800"/>
            <w:vAlign w:val="center"/>
          </w:tcPr>
          <w:p>
            <w:pPr>
              <w:spacing w:after="0"/>
              <w:jc w:val="left"/>
            </w:pPr>
            <w:r/>
            <w:r>
              <w:rPr>
                <w:rFonts w:ascii="Arial" w:hAnsi="Arial"/>
                <w:b w:val="0"/>
                <w:color w:val="000000"/>
                <w:sz w:val="16"/>
              </w:rPr>
              <w:t>Gemini</w:t>
            </w:r>
          </w:p>
        </w:tc>
        <w:tc>
          <w:tcPr>
            <w:tcW w:type="dxa" w:w="1224"/>
            <w:vAlign w:val="center"/>
          </w:tcPr>
          <w:p>
            <w:pPr>
              <w:spacing w:after="0"/>
              <w:jc w:val="center"/>
            </w:pPr>
            <w:r/>
            <w:r>
              <w:rPr>
                <w:rFonts w:ascii="Arial" w:hAnsi="Arial"/>
                <w:b w:val="0"/>
                <w:color w:val="000000"/>
                <w:sz w:val="16"/>
              </w:rPr>
              <w:t>23.8</w:t>
            </w:r>
          </w:p>
        </w:tc>
        <w:tc>
          <w:tcPr>
            <w:tcW w:type="dxa" w:w="1224"/>
            <w:vAlign w:val="center"/>
          </w:tcPr>
          <w:p>
            <w:pPr>
              <w:spacing w:after="0"/>
              <w:jc w:val="center"/>
            </w:pPr>
            <w:r/>
            <w:r>
              <w:rPr>
                <w:rFonts w:ascii="Arial" w:hAnsi="Arial"/>
                <w:b w:val="0"/>
                <w:color w:val="000000"/>
                <w:sz w:val="16"/>
              </w:rPr>
              <w:t>24.5</w:t>
            </w:r>
          </w:p>
        </w:tc>
        <w:tc>
          <w:tcPr>
            <w:tcW w:type="dxa" w:w="1008"/>
            <w:vAlign w:val="center"/>
          </w:tcPr>
          <w:p>
            <w:pPr>
              <w:spacing w:after="0"/>
              <w:jc w:val="center"/>
            </w:pPr>
            <w:r/>
            <w:r>
              <w:rPr>
                <w:rFonts w:ascii="Arial" w:hAnsi="Arial"/>
                <w:b w:val="0"/>
                <w:color w:val="000000"/>
                <w:sz w:val="16"/>
              </w:rPr>
              <w:t>+0.7</w:t>
            </w:r>
          </w:p>
        </w:tc>
        <w:tc>
          <w:tcPr>
            <w:tcW w:type="dxa" w:w="1224"/>
            <w:vAlign w:val="center"/>
          </w:tcPr>
          <w:p>
            <w:pPr>
              <w:spacing w:after="0"/>
              <w:jc w:val="center"/>
            </w:pPr>
            <w:r/>
            <w:r>
              <w:rPr>
                <w:rFonts w:ascii="Arial" w:hAnsi="Arial"/>
                <w:b w:val="0"/>
                <w:color w:val="000000"/>
                <w:sz w:val="16"/>
              </w:rPr>
              <w:t>+2 pp</w:t>
            </w:r>
          </w:p>
        </w:tc>
        <w:tc>
          <w:tcPr>
            <w:tcW w:type="dxa" w:w="1224"/>
            <w:vAlign w:val="center"/>
          </w:tcPr>
          <w:p>
            <w:pPr>
              <w:spacing w:after="0"/>
              <w:jc w:val="center"/>
            </w:pPr>
            <w:r/>
            <w:r>
              <w:rPr>
                <w:rFonts w:ascii="Arial" w:hAnsi="Arial"/>
                <w:b w:val="0"/>
                <w:color w:val="000000"/>
                <w:sz w:val="16"/>
              </w:rPr>
              <w:t>+1 pp</w:t>
            </w:r>
          </w:p>
        </w:tc>
        <w:tc>
          <w:tcPr>
            <w:tcW w:type="dxa" w:w="1512"/>
            <w:vAlign w:val="center"/>
          </w:tcPr>
          <w:p>
            <w:pPr>
              <w:spacing w:after="0"/>
              <w:jc w:val="center"/>
            </w:pPr>
            <w:r/>
            <w:r>
              <w:rPr>
                <w:rFonts w:ascii="Arial" w:hAnsi="Arial"/>
                <w:b w:val="0"/>
                <w:color w:val="000000"/>
                <w:sz w:val="16"/>
              </w:rPr>
              <w:t>−1 pp</w:t>
            </w:r>
          </w:p>
        </w:tc>
      </w:tr>
      <w:tr>
        <w:tc>
          <w:tcPr>
            <w:tcW w:type="dxa" w:w="1800"/>
            <w:vAlign w:val="center"/>
            <w:shd w:fill="F3F6F9"/>
          </w:tcPr>
          <w:p>
            <w:pPr>
              <w:spacing w:after="0"/>
              <w:jc w:val="left"/>
            </w:pPr>
            <w:r/>
            <w:r>
              <w:rPr>
                <w:rFonts w:ascii="Arial" w:hAnsi="Arial"/>
                <w:b w:val="0"/>
                <w:color w:val="000000"/>
                <w:sz w:val="16"/>
              </w:rPr>
              <w:t>Perplexity</w:t>
            </w:r>
          </w:p>
        </w:tc>
        <w:tc>
          <w:tcPr>
            <w:tcW w:type="dxa" w:w="1224"/>
            <w:vAlign w:val="center"/>
            <w:shd w:fill="F3F6F9"/>
          </w:tcPr>
          <w:p>
            <w:pPr>
              <w:spacing w:after="0"/>
              <w:jc w:val="center"/>
            </w:pPr>
            <w:r/>
            <w:r>
              <w:rPr>
                <w:rFonts w:ascii="Arial" w:hAnsi="Arial"/>
                <w:b w:val="0"/>
                <w:color w:val="000000"/>
                <w:sz w:val="16"/>
              </w:rPr>
              <w:t>63.1</w:t>
            </w:r>
          </w:p>
        </w:tc>
        <w:tc>
          <w:tcPr>
            <w:tcW w:type="dxa" w:w="1224"/>
            <w:vAlign w:val="center"/>
            <w:shd w:fill="F3F6F9"/>
          </w:tcPr>
          <w:p>
            <w:pPr>
              <w:spacing w:after="0"/>
              <w:jc w:val="center"/>
            </w:pPr>
            <w:r/>
            <w:r>
              <w:rPr>
                <w:rFonts w:ascii="Arial" w:hAnsi="Arial"/>
                <w:b w:val="0"/>
                <w:color w:val="000000"/>
                <w:sz w:val="16"/>
              </w:rPr>
              <w:t>76.4</w:t>
            </w:r>
          </w:p>
        </w:tc>
        <w:tc>
          <w:tcPr>
            <w:tcW w:type="dxa" w:w="1008"/>
            <w:vAlign w:val="center"/>
            <w:shd w:fill="F3F6F9"/>
          </w:tcPr>
          <w:p>
            <w:pPr>
              <w:spacing w:after="0"/>
              <w:jc w:val="center"/>
            </w:pPr>
            <w:r/>
            <w:r>
              <w:rPr>
                <w:rFonts w:ascii="Arial" w:hAnsi="Arial"/>
                <w:b w:val="0"/>
                <w:color w:val="000000"/>
                <w:sz w:val="16"/>
              </w:rPr>
              <w:t>+13.3</w:t>
            </w:r>
          </w:p>
        </w:tc>
        <w:tc>
          <w:tcPr>
            <w:tcW w:type="dxa" w:w="1224"/>
            <w:vAlign w:val="center"/>
            <w:shd w:fill="F3F6F9"/>
          </w:tcPr>
          <w:p>
            <w:pPr>
              <w:spacing w:after="0"/>
              <w:jc w:val="center"/>
            </w:pPr>
            <w:r/>
            <w:r>
              <w:rPr>
                <w:rFonts w:ascii="Arial" w:hAnsi="Arial"/>
                <w:b w:val="0"/>
                <w:color w:val="000000"/>
                <w:sz w:val="16"/>
              </w:rPr>
              <w:t>+16 pp</w:t>
            </w:r>
          </w:p>
        </w:tc>
        <w:tc>
          <w:tcPr>
            <w:tcW w:type="dxa" w:w="1224"/>
            <w:vAlign w:val="center"/>
            <w:shd w:fill="F3F6F9"/>
          </w:tcPr>
          <w:p>
            <w:pPr>
              <w:spacing w:after="0"/>
              <w:jc w:val="center"/>
            </w:pPr>
            <w:r/>
            <w:r>
              <w:rPr>
                <w:rFonts w:ascii="Arial" w:hAnsi="Arial"/>
                <w:b w:val="0"/>
                <w:color w:val="000000"/>
                <w:sz w:val="16"/>
              </w:rPr>
              <w:t>+19 pp</w:t>
            </w:r>
          </w:p>
        </w:tc>
        <w:tc>
          <w:tcPr>
            <w:tcW w:type="dxa" w:w="1512"/>
            <w:vAlign w:val="center"/>
            <w:shd w:fill="F3F6F9"/>
          </w:tcPr>
          <w:p>
            <w:pPr>
              <w:spacing w:after="0"/>
              <w:jc w:val="center"/>
            </w:pPr>
            <w:r/>
            <w:r>
              <w:rPr>
                <w:rFonts w:ascii="Arial" w:hAnsi="Arial"/>
                <w:b w:val="0"/>
                <w:color w:val="000000"/>
                <w:sz w:val="16"/>
              </w:rPr>
              <w:t>+9 pp</w:t>
            </w:r>
          </w:p>
        </w:tc>
      </w:tr>
      <w:tr>
        <w:tc>
          <w:tcPr>
            <w:tcW w:type="dxa" w:w="1800"/>
            <w:vAlign w:val="center"/>
          </w:tcPr>
          <w:p>
            <w:pPr>
              <w:spacing w:after="0"/>
              <w:jc w:val="left"/>
            </w:pPr>
            <w:r/>
            <w:r>
              <w:rPr>
                <w:rFonts w:ascii="Arial" w:hAnsi="Arial"/>
                <w:b w:val="0"/>
                <w:color w:val="000000"/>
                <w:sz w:val="16"/>
              </w:rPr>
              <w:t>Claude</w:t>
            </w:r>
          </w:p>
        </w:tc>
        <w:tc>
          <w:tcPr>
            <w:tcW w:type="dxa" w:w="1224"/>
            <w:vAlign w:val="center"/>
          </w:tcPr>
          <w:p>
            <w:pPr>
              <w:spacing w:after="0"/>
              <w:jc w:val="center"/>
            </w:pPr>
            <w:r/>
            <w:r>
              <w:rPr>
                <w:rFonts w:ascii="Arial" w:hAnsi="Arial"/>
                <w:b w:val="0"/>
                <w:color w:val="000000"/>
                <w:sz w:val="16"/>
              </w:rPr>
              <w:t>26.7</w:t>
            </w:r>
          </w:p>
        </w:tc>
        <w:tc>
          <w:tcPr>
            <w:tcW w:type="dxa" w:w="1224"/>
            <w:vAlign w:val="center"/>
          </w:tcPr>
          <w:p>
            <w:pPr>
              <w:spacing w:after="0"/>
              <w:jc w:val="center"/>
            </w:pPr>
            <w:r/>
            <w:r>
              <w:rPr>
                <w:rFonts w:ascii="Arial" w:hAnsi="Arial"/>
                <w:b w:val="0"/>
                <w:color w:val="000000"/>
                <w:sz w:val="16"/>
              </w:rPr>
              <w:t>24.5</w:t>
            </w:r>
          </w:p>
        </w:tc>
        <w:tc>
          <w:tcPr>
            <w:tcW w:type="dxa" w:w="1008"/>
            <w:vAlign w:val="center"/>
          </w:tcPr>
          <w:p>
            <w:pPr>
              <w:spacing w:after="0"/>
              <w:jc w:val="center"/>
            </w:pPr>
            <w:r/>
            <w:r>
              <w:rPr>
                <w:rFonts w:ascii="Arial" w:hAnsi="Arial"/>
                <w:b w:val="0"/>
                <w:color w:val="000000"/>
                <w:sz w:val="16"/>
              </w:rPr>
              <w:t>−2.2</w:t>
            </w:r>
          </w:p>
        </w:tc>
        <w:tc>
          <w:tcPr>
            <w:tcW w:type="dxa" w:w="1224"/>
            <w:vAlign w:val="center"/>
          </w:tcPr>
          <w:p>
            <w:pPr>
              <w:spacing w:after="0"/>
              <w:jc w:val="center"/>
            </w:pPr>
            <w:r/>
            <w:r>
              <w:rPr>
                <w:rFonts w:ascii="Arial" w:hAnsi="Arial"/>
                <w:b w:val="0"/>
                <w:color w:val="000000"/>
                <w:sz w:val="16"/>
              </w:rPr>
              <w:t>−11 pp</w:t>
            </w:r>
          </w:p>
        </w:tc>
        <w:tc>
          <w:tcPr>
            <w:tcW w:type="dxa" w:w="1224"/>
            <w:vAlign w:val="center"/>
          </w:tcPr>
          <w:p>
            <w:pPr>
              <w:spacing w:after="0"/>
              <w:jc w:val="center"/>
            </w:pPr>
            <w:r/>
            <w:r>
              <w:rPr>
                <w:rFonts w:ascii="Arial" w:hAnsi="Arial"/>
                <w:b w:val="0"/>
                <w:color w:val="000000"/>
                <w:sz w:val="16"/>
              </w:rPr>
              <w:t>+11 pp</w:t>
            </w:r>
          </w:p>
        </w:tc>
        <w:tc>
          <w:tcPr>
            <w:tcW w:type="dxa" w:w="1512"/>
            <w:vAlign w:val="center"/>
          </w:tcPr>
          <w:p>
            <w:pPr>
              <w:spacing w:after="0"/>
              <w:jc w:val="center"/>
            </w:pPr>
            <w:r/>
            <w:r>
              <w:rPr>
                <w:rFonts w:ascii="Arial" w:hAnsi="Arial"/>
                <w:b w:val="0"/>
                <w:color w:val="000000"/>
                <w:sz w:val="16"/>
              </w:rPr>
              <w:t>0 pp</w:t>
            </w:r>
          </w:p>
        </w:tc>
      </w:tr>
      <w:tr>
        <w:tc>
          <w:tcPr>
            <w:tcW w:type="dxa" w:w="1800"/>
            <w:vAlign w:val="center"/>
            <w:shd w:fill="F3F6F9"/>
          </w:tcPr>
          <w:p>
            <w:pPr>
              <w:spacing w:after="0"/>
              <w:jc w:val="left"/>
            </w:pPr>
            <w:r/>
            <w:r>
              <w:rPr>
                <w:rFonts w:ascii="Arial" w:hAnsi="Arial"/>
                <w:b w:val="0"/>
                <w:color w:val="000000"/>
                <w:sz w:val="16"/>
              </w:rPr>
              <w:t>OpenAI</w:t>
            </w:r>
          </w:p>
        </w:tc>
        <w:tc>
          <w:tcPr>
            <w:tcW w:type="dxa" w:w="1224"/>
            <w:vAlign w:val="center"/>
            <w:shd w:fill="F3F6F9"/>
          </w:tcPr>
          <w:p>
            <w:pPr>
              <w:spacing w:after="0"/>
              <w:jc w:val="center"/>
            </w:pPr>
            <w:r/>
            <w:r>
              <w:rPr>
                <w:rFonts w:ascii="Arial" w:hAnsi="Arial"/>
                <w:b w:val="0"/>
                <w:color w:val="000000"/>
                <w:sz w:val="16"/>
              </w:rPr>
              <w:t>20.5</w:t>
            </w:r>
          </w:p>
        </w:tc>
        <w:tc>
          <w:tcPr>
            <w:tcW w:type="dxa" w:w="1224"/>
            <w:vAlign w:val="center"/>
            <w:shd w:fill="F3F6F9"/>
          </w:tcPr>
          <w:p>
            <w:pPr>
              <w:spacing w:after="0"/>
              <w:jc w:val="center"/>
            </w:pPr>
            <w:r/>
            <w:r>
              <w:rPr>
                <w:rFonts w:ascii="Arial" w:hAnsi="Arial"/>
                <w:b w:val="0"/>
                <w:color w:val="000000"/>
                <w:sz w:val="16"/>
              </w:rPr>
              <w:t>19.9</w:t>
            </w:r>
          </w:p>
        </w:tc>
        <w:tc>
          <w:tcPr>
            <w:tcW w:type="dxa" w:w="1008"/>
            <w:vAlign w:val="center"/>
            <w:shd w:fill="F3F6F9"/>
          </w:tcPr>
          <w:p>
            <w:pPr>
              <w:spacing w:after="0"/>
              <w:jc w:val="center"/>
            </w:pPr>
            <w:r/>
            <w:r>
              <w:rPr>
                <w:rFonts w:ascii="Arial" w:hAnsi="Arial"/>
                <w:b w:val="0"/>
                <w:color w:val="000000"/>
                <w:sz w:val="16"/>
              </w:rPr>
              <w:t>−0.6</w:t>
            </w:r>
          </w:p>
        </w:tc>
        <w:tc>
          <w:tcPr>
            <w:tcW w:type="dxa" w:w="1224"/>
            <w:vAlign w:val="center"/>
            <w:shd w:fill="F3F6F9"/>
          </w:tcPr>
          <w:p>
            <w:pPr>
              <w:spacing w:after="0"/>
              <w:jc w:val="center"/>
            </w:pPr>
            <w:r/>
            <w:r>
              <w:rPr>
                <w:rFonts w:ascii="Arial" w:hAnsi="Arial"/>
                <w:b w:val="0"/>
                <w:color w:val="000000"/>
                <w:sz w:val="16"/>
              </w:rPr>
              <w:t>0 pp</w:t>
            </w:r>
          </w:p>
        </w:tc>
        <w:tc>
          <w:tcPr>
            <w:tcW w:type="dxa" w:w="1224"/>
            <w:vAlign w:val="center"/>
            <w:shd w:fill="F3F6F9"/>
          </w:tcPr>
          <w:p>
            <w:pPr>
              <w:spacing w:after="0"/>
              <w:jc w:val="center"/>
            </w:pPr>
            <w:r/>
            <w:r>
              <w:rPr>
                <w:rFonts w:ascii="Arial" w:hAnsi="Arial"/>
                <w:b w:val="0"/>
                <w:color w:val="000000"/>
                <w:sz w:val="16"/>
              </w:rPr>
              <w:t>+1 pp</w:t>
            </w:r>
          </w:p>
        </w:tc>
        <w:tc>
          <w:tcPr>
            <w:tcW w:type="dxa" w:w="1512"/>
            <w:vAlign w:val="center"/>
            <w:shd w:fill="F3F6F9"/>
          </w:tcPr>
          <w:p>
            <w:pPr>
              <w:spacing w:after="0"/>
              <w:jc w:val="center"/>
            </w:pPr>
            <w:r/>
            <w:r>
              <w:rPr>
                <w:rFonts w:ascii="Arial" w:hAnsi="Arial"/>
                <w:b w:val="0"/>
                <w:color w:val="000000"/>
                <w:sz w:val="16"/>
              </w:rPr>
              <w:t>−2 pp</w:t>
            </w:r>
          </w:p>
        </w:tc>
      </w:tr>
    </w:tbl>
    <w:p>
      <w:pPr>
        <w:spacing w:after="0"/>
      </w:pPr>
    </w:p>
    <w:p>
      <w:pPr>
        <w:pStyle w:val="Heading2"/>
      </w:pPr>
      <w:r>
        <w:t>What changed</w:t>
      </w:r>
    </w:p>
    <w:p>
      <w:r>
        <w:rPr>
          <w:b/>
        </w:rPr>
        <w:t xml:space="preserve">Perplexity drove the improvement. </w:t>
      </w:r>
      <w:r>
        <w:t>Its mention share reached 92%, citation share 99%, and recommendation share 55%. The Visibility Index increased 13.3 points to 76.4, making Perplexity the clear source of growth.</w:t>
      </w:r>
    </w:p>
    <w:p>
      <w:r>
        <w:rPr>
          <w:b/>
        </w:rPr>
        <w:t xml:space="preserve">Gemini remained citation-heavy and recommendation-light. </w:t>
      </w:r>
      <w:r>
        <w:t>CSI appeared in 61% of citations but earned only four recommendations. Its citation-to-recommendation conversion was 6.6%, and the Visibility Index rose only 0.7 points.</w:t>
      </w:r>
    </w:p>
    <w:p>
      <w:r>
        <w:rPr>
          <w:b/>
        </w:rPr>
        <w:t xml:space="preserve">Claude’s citation presence improved while entity visibility weakened. </w:t>
      </w:r>
      <w:r>
        <w:t>Citation share rose from 46% to 57%, but mention share fell from 38% to 27%. The platform increasingly reaches relevant sources without consistently naming CSI in its answer.</w:t>
      </w:r>
    </w:p>
    <w:p>
      <w:r>
        <w:rPr>
          <w:b/>
        </w:rPr>
        <w:t xml:space="preserve">OpenAI remained the weakest discovery channel. </w:t>
      </w:r>
      <w:r>
        <w:t>Mention share stayed at 24%, citation share rose one point to 20%, and recommendation share fell to 17%. CSI appeared as a source in 17 observations, one fewer than the baseline.</w:t>
      </w:r>
    </w:p>
    <w:p>
      <w:pPr>
        <w:pStyle w:val="Heading2"/>
      </w:pPr>
      <w:r>
        <w:t>Category movement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c>
          <w:tcPr>
            <w:tcW w:type="dxa" w:w="1584"/>
            <w:vAlign w:val="center"/>
            <w:shd w:fill="17365D"/>
          </w:tcPr>
          <w:p>
            <w:pPr>
              <w:spacing w:after="0"/>
              <w:jc w:val="center"/>
            </w:pPr>
            <w:r/>
            <w:r>
              <w:rPr>
                <w:rFonts w:ascii="Arial" w:hAnsi="Arial"/>
                <w:b/>
                <w:color w:val="FFFFFF"/>
                <w:sz w:val="16"/>
              </w:rPr>
              <w:t>Platform</w:t>
            </w:r>
          </w:p>
        </w:tc>
        <w:tc>
          <w:tcPr>
            <w:tcW w:type="dxa" w:w="2592"/>
            <w:vAlign w:val="center"/>
            <w:shd w:fill="17365D"/>
          </w:tcPr>
          <w:p>
            <w:pPr>
              <w:spacing w:after="0"/>
              <w:jc w:val="center"/>
            </w:pPr>
            <w:r/>
            <w:r>
              <w:rPr>
                <w:rFonts w:ascii="Arial" w:hAnsi="Arial"/>
                <w:b/>
                <w:color w:val="FFFFFF"/>
                <w:sz w:val="16"/>
              </w:rPr>
              <w:t>Baseline weakest</w:t>
            </w:r>
          </w:p>
        </w:tc>
        <w:tc>
          <w:tcPr>
            <w:tcW w:type="dxa" w:w="2592"/>
            <w:vAlign w:val="center"/>
            <w:shd w:fill="17365D"/>
          </w:tcPr>
          <w:p>
            <w:pPr>
              <w:spacing w:after="0"/>
              <w:jc w:val="center"/>
            </w:pPr>
            <w:r/>
            <w:r>
              <w:rPr>
                <w:rFonts w:ascii="Arial" w:hAnsi="Arial"/>
                <w:b/>
                <w:color w:val="FFFFFF"/>
                <w:sz w:val="16"/>
              </w:rPr>
              <w:t>Current weakest</w:t>
            </w:r>
          </w:p>
        </w:tc>
        <w:tc>
          <w:tcPr>
            <w:tcW w:type="dxa" w:w="2592"/>
            <w:vAlign w:val="center"/>
            <w:shd w:fill="17365D"/>
          </w:tcPr>
          <w:p>
            <w:pPr>
              <w:spacing w:after="0"/>
              <w:jc w:val="center"/>
            </w:pPr>
            <w:r/>
            <w:r>
              <w:rPr>
                <w:rFonts w:ascii="Arial" w:hAnsi="Arial"/>
                <w:b/>
                <w:color w:val="FFFFFF"/>
                <w:sz w:val="16"/>
              </w:rPr>
              <w:t>Current strongest</w:t>
            </w:r>
          </w:p>
        </w:tc>
      </w:tr>
      <w:tr>
        <w:tc>
          <w:tcPr>
            <w:tcW w:type="dxa" w:w="1584"/>
            <w:vAlign w:val="center"/>
          </w:tcPr>
          <w:p>
            <w:pPr>
              <w:spacing w:after="0"/>
              <w:jc w:val="left"/>
            </w:pPr>
            <w:r/>
            <w:r>
              <w:rPr>
                <w:rFonts w:ascii="Arial" w:hAnsi="Arial"/>
                <w:b w:val="0"/>
                <w:color w:val="000000"/>
                <w:sz w:val="16"/>
              </w:rPr>
              <w:t>Gemini</w:t>
            </w:r>
          </w:p>
        </w:tc>
        <w:tc>
          <w:tcPr>
            <w:tcW w:type="dxa" w:w="2592"/>
            <w:vAlign w:val="center"/>
          </w:tcPr>
          <w:p>
            <w:pPr>
              <w:spacing w:after="0"/>
              <w:jc w:val="center"/>
            </w:pPr>
            <w:r/>
            <w:r>
              <w:rPr>
                <w:rFonts w:ascii="Arial" w:hAnsi="Arial"/>
                <w:b w:val="0"/>
                <w:color w:val="000000"/>
                <w:sz w:val="16"/>
              </w:rPr>
              <w:t>Business Case  0.0</w:t>
            </w:r>
          </w:p>
        </w:tc>
        <w:tc>
          <w:tcPr>
            <w:tcW w:type="dxa" w:w="2592"/>
            <w:vAlign w:val="center"/>
          </w:tcPr>
          <w:p>
            <w:pPr>
              <w:spacing w:after="0"/>
              <w:jc w:val="center"/>
            </w:pPr>
            <w:r/>
            <w:r>
              <w:rPr>
                <w:rFonts w:ascii="Arial" w:hAnsi="Arial"/>
                <w:b w:val="0"/>
                <w:color w:val="000000"/>
                <w:sz w:val="16"/>
              </w:rPr>
              <w:t>Standards  0.0</w:t>
            </w:r>
          </w:p>
        </w:tc>
        <w:tc>
          <w:tcPr>
            <w:tcW w:type="dxa" w:w="2592"/>
            <w:vAlign w:val="center"/>
          </w:tcPr>
          <w:p>
            <w:pPr>
              <w:spacing w:after="0"/>
              <w:jc w:val="center"/>
            </w:pPr>
            <w:r/>
            <w:r>
              <w:rPr>
                <w:rFonts w:ascii="Arial" w:hAnsi="Arial"/>
                <w:b w:val="0"/>
                <w:color w:val="000000"/>
                <w:sz w:val="16"/>
              </w:rPr>
              <w:t>Integration  40.0</w:t>
            </w:r>
          </w:p>
        </w:tc>
      </w:tr>
      <w:tr>
        <w:tc>
          <w:tcPr>
            <w:tcW w:type="dxa" w:w="1584"/>
            <w:vAlign w:val="center"/>
            <w:shd w:fill="F3F6F9"/>
          </w:tcPr>
          <w:p>
            <w:pPr>
              <w:spacing w:after="0"/>
              <w:jc w:val="left"/>
            </w:pPr>
            <w:r/>
            <w:r>
              <w:rPr>
                <w:rFonts w:ascii="Arial" w:hAnsi="Arial"/>
                <w:b w:val="0"/>
                <w:color w:val="000000"/>
                <w:sz w:val="16"/>
              </w:rPr>
              <w:t>Perplexity</w:t>
            </w:r>
          </w:p>
        </w:tc>
        <w:tc>
          <w:tcPr>
            <w:tcW w:type="dxa" w:w="2592"/>
            <w:vAlign w:val="center"/>
            <w:shd w:fill="F3F6F9"/>
          </w:tcPr>
          <w:p>
            <w:pPr>
              <w:spacing w:after="0"/>
              <w:jc w:val="center"/>
            </w:pPr>
            <w:r/>
            <w:r>
              <w:rPr>
                <w:rFonts w:ascii="Arial" w:hAnsi="Arial"/>
                <w:b w:val="0"/>
                <w:color w:val="000000"/>
                <w:sz w:val="16"/>
              </w:rPr>
              <w:t>Strategy  30.3</w:t>
            </w:r>
          </w:p>
        </w:tc>
        <w:tc>
          <w:tcPr>
            <w:tcW w:type="dxa" w:w="2592"/>
            <w:vAlign w:val="center"/>
            <w:shd w:fill="F3F6F9"/>
          </w:tcPr>
          <w:p>
            <w:pPr>
              <w:spacing w:after="0"/>
              <w:jc w:val="center"/>
            </w:pPr>
            <w:r/>
            <w:r>
              <w:rPr>
                <w:rFonts w:ascii="Arial" w:hAnsi="Arial"/>
                <w:b w:val="0"/>
                <w:color w:val="000000"/>
                <w:sz w:val="16"/>
              </w:rPr>
              <w:t>Architecture  30.0</w:t>
            </w:r>
          </w:p>
        </w:tc>
        <w:tc>
          <w:tcPr>
            <w:tcW w:type="dxa" w:w="2592"/>
            <w:vAlign w:val="center"/>
            <w:shd w:fill="F3F6F9"/>
          </w:tcPr>
          <w:p>
            <w:pPr>
              <w:spacing w:after="0"/>
              <w:jc w:val="center"/>
            </w:pPr>
            <w:r/>
            <w:r>
              <w:rPr>
                <w:rFonts w:ascii="Arial" w:hAnsi="Arial"/>
                <w:b w:val="0"/>
                <w:color w:val="000000"/>
                <w:sz w:val="16"/>
              </w:rPr>
              <w:t>EPC  85.9</w:t>
            </w:r>
          </w:p>
        </w:tc>
      </w:tr>
      <w:tr>
        <w:tc>
          <w:tcPr>
            <w:tcW w:type="dxa" w:w="1584"/>
            <w:vAlign w:val="center"/>
          </w:tcPr>
          <w:p>
            <w:pPr>
              <w:spacing w:after="0"/>
              <w:jc w:val="left"/>
            </w:pPr>
            <w:r/>
            <w:r>
              <w:rPr>
                <w:rFonts w:ascii="Arial" w:hAnsi="Arial"/>
                <w:b w:val="0"/>
                <w:color w:val="000000"/>
                <w:sz w:val="16"/>
              </w:rPr>
              <w:t>Claude</w:t>
            </w:r>
          </w:p>
        </w:tc>
        <w:tc>
          <w:tcPr>
            <w:tcW w:type="dxa" w:w="2592"/>
            <w:vAlign w:val="center"/>
          </w:tcPr>
          <w:p>
            <w:pPr>
              <w:spacing w:after="0"/>
              <w:jc w:val="center"/>
            </w:pPr>
            <w:r/>
            <w:r>
              <w:rPr>
                <w:rFonts w:ascii="Arial" w:hAnsi="Arial"/>
                <w:b w:val="0"/>
                <w:color w:val="000000"/>
                <w:sz w:val="16"/>
              </w:rPr>
              <w:t>Integration  0.0</w:t>
            </w:r>
          </w:p>
        </w:tc>
        <w:tc>
          <w:tcPr>
            <w:tcW w:type="dxa" w:w="2592"/>
            <w:vAlign w:val="center"/>
          </w:tcPr>
          <w:p>
            <w:pPr>
              <w:spacing w:after="0"/>
              <w:jc w:val="center"/>
            </w:pPr>
            <w:r/>
            <w:r>
              <w:rPr>
                <w:rFonts w:ascii="Arial" w:hAnsi="Arial"/>
                <w:b w:val="0"/>
                <w:color w:val="000000"/>
                <w:sz w:val="16"/>
              </w:rPr>
              <w:t>Architecture  0.0</w:t>
            </w:r>
          </w:p>
        </w:tc>
        <w:tc>
          <w:tcPr>
            <w:tcW w:type="dxa" w:w="2592"/>
            <w:vAlign w:val="center"/>
          </w:tcPr>
          <w:p>
            <w:pPr>
              <w:spacing w:after="0"/>
              <w:jc w:val="center"/>
            </w:pPr>
            <w:r/>
            <w:r>
              <w:rPr>
                <w:rFonts w:ascii="Arial" w:hAnsi="Arial"/>
                <w:b w:val="0"/>
                <w:color w:val="000000"/>
                <w:sz w:val="16"/>
              </w:rPr>
              <w:t>Training  55.0</w:t>
            </w:r>
          </w:p>
        </w:tc>
      </w:tr>
      <w:tr>
        <w:tc>
          <w:tcPr>
            <w:tcW w:type="dxa" w:w="1584"/>
            <w:vAlign w:val="center"/>
            <w:shd w:fill="F3F6F9"/>
          </w:tcPr>
          <w:p>
            <w:pPr>
              <w:spacing w:after="0"/>
              <w:jc w:val="left"/>
            </w:pPr>
            <w:r/>
            <w:r>
              <w:rPr>
                <w:rFonts w:ascii="Arial" w:hAnsi="Arial"/>
                <w:b w:val="0"/>
                <w:color w:val="000000"/>
                <w:sz w:val="16"/>
              </w:rPr>
              <w:t>OpenAI</w:t>
            </w:r>
          </w:p>
        </w:tc>
        <w:tc>
          <w:tcPr>
            <w:tcW w:type="dxa" w:w="2592"/>
            <w:vAlign w:val="center"/>
            <w:shd w:fill="F3F6F9"/>
          </w:tcPr>
          <w:p>
            <w:pPr>
              <w:spacing w:after="0"/>
              <w:jc w:val="center"/>
            </w:pPr>
            <w:r/>
            <w:r>
              <w:rPr>
                <w:rFonts w:ascii="Arial" w:hAnsi="Arial"/>
                <w:b w:val="0"/>
                <w:color w:val="000000"/>
                <w:sz w:val="16"/>
              </w:rPr>
              <w:t>Standards  0.0</w:t>
            </w:r>
          </w:p>
        </w:tc>
        <w:tc>
          <w:tcPr>
            <w:tcW w:type="dxa" w:w="2592"/>
            <w:vAlign w:val="center"/>
            <w:shd w:fill="F3F6F9"/>
          </w:tcPr>
          <w:p>
            <w:pPr>
              <w:spacing w:after="0"/>
              <w:jc w:val="center"/>
            </w:pPr>
            <w:r/>
            <w:r>
              <w:rPr>
                <w:rFonts w:ascii="Arial" w:hAnsi="Arial"/>
                <w:b w:val="0"/>
                <w:color w:val="000000"/>
                <w:sz w:val="16"/>
              </w:rPr>
              <w:t>Procurement  0.0</w:t>
            </w:r>
          </w:p>
        </w:tc>
        <w:tc>
          <w:tcPr>
            <w:tcW w:type="dxa" w:w="2592"/>
            <w:vAlign w:val="center"/>
            <w:shd w:fill="F3F6F9"/>
          </w:tcPr>
          <w:p>
            <w:pPr>
              <w:spacing w:after="0"/>
              <w:jc w:val="center"/>
            </w:pPr>
            <w:r/>
            <w:r>
              <w:rPr>
                <w:rFonts w:ascii="Arial" w:hAnsi="Arial"/>
                <w:b w:val="0"/>
                <w:color w:val="000000"/>
                <w:sz w:val="16"/>
              </w:rPr>
              <w:t>Integration  80.0</w:t>
            </w:r>
          </w:p>
        </w:tc>
      </w:tr>
    </w:tbl>
    <w:p>
      <w:pPr>
        <w:spacing w:after="0"/>
      </w:pPr>
    </w:p>
    <w:p>
      <w:r>
        <w:br w:type="page"/>
      </w:r>
    </w:p>
    <w:p>
      <w:pPr>
        <w:pStyle w:val="Heading1"/>
      </w:pPr>
      <w:r>
        <w:t>Independent authority</w:t>
      </w:r>
    </w:p>
    <w:p>
      <w:r>
        <w:t>The September run added a claim-matched authority test for every observation that mentioned CSI. An observation qualified only when an independent Tier A or Tier B source substantively supported the specific proposition made about CSI. CSI-controlled sources could not establish independent authority by themselves.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c>
          <w:tcPr>
            <w:tcW w:type="dxa" w:w="1656"/>
            <w:vAlign w:val="center"/>
            <w:shd w:fill="17365D"/>
          </w:tcPr>
          <w:p>
            <w:pPr>
              <w:spacing w:after="0"/>
              <w:jc w:val="center"/>
            </w:pPr>
            <w:r/>
            <w:r>
              <w:rPr>
                <w:rFonts w:ascii="Arial" w:hAnsi="Arial"/>
                <w:b/>
                <w:color w:val="FFFFFF"/>
                <w:sz w:val="16"/>
              </w:rPr>
              <w:t>Platform</w:t>
            </w:r>
          </w:p>
        </w:tc>
        <w:tc>
          <w:tcPr>
            <w:tcW w:type="dxa" w:w="1800"/>
            <w:vAlign w:val="center"/>
            <w:shd w:fill="17365D"/>
          </w:tcPr>
          <w:p>
            <w:pPr>
              <w:spacing w:after="0"/>
              <w:jc w:val="center"/>
            </w:pPr>
            <w:r/>
            <w:r>
              <w:rPr>
                <w:rFonts w:ascii="Arial" w:hAnsi="Arial"/>
                <w:b/>
                <w:color w:val="FFFFFF"/>
                <w:sz w:val="16"/>
              </w:rPr>
              <w:t>Qualifying observations</w:t>
            </w:r>
          </w:p>
        </w:tc>
        <w:tc>
          <w:tcPr>
            <w:tcW w:type="dxa" w:w="2088"/>
            <w:vAlign w:val="center"/>
            <w:shd w:fill="17365D"/>
          </w:tcPr>
          <w:p>
            <w:pPr>
              <w:spacing w:after="0"/>
              <w:jc w:val="center"/>
            </w:pPr>
            <w:r/>
            <w:r>
              <w:rPr>
                <w:rFonts w:ascii="Arial" w:hAnsi="Arial"/>
                <w:b/>
                <w:color w:val="FFFFFF"/>
                <w:sz w:val="16"/>
              </w:rPr>
              <w:t>Share of all observations</w:t>
            </w:r>
          </w:p>
        </w:tc>
        <w:tc>
          <w:tcPr>
            <w:tcW w:type="dxa" w:w="1944"/>
            <w:vAlign w:val="center"/>
            <w:shd w:fill="17365D"/>
          </w:tcPr>
          <w:p>
            <w:pPr>
              <w:spacing w:after="0"/>
              <w:jc w:val="center"/>
            </w:pPr>
            <w:r/>
            <w:r>
              <w:rPr>
                <w:rFonts w:ascii="Arial" w:hAnsi="Arial"/>
                <w:b/>
                <w:color w:val="FFFFFF"/>
                <w:sz w:val="16"/>
              </w:rPr>
              <w:t>Average qualifying score</w:t>
            </w:r>
          </w:p>
        </w:tc>
        <w:tc>
          <w:tcPr>
            <w:tcW w:type="dxa" w:w="2376"/>
            <w:vAlign w:val="center"/>
            <w:shd w:fill="17365D"/>
          </w:tcPr>
          <w:p>
            <w:pPr>
              <w:spacing w:after="0"/>
              <w:jc w:val="center"/>
            </w:pPr>
            <w:r/>
            <w:r>
              <w:rPr>
                <w:rFonts w:ascii="Arial" w:hAnsi="Arial"/>
                <w:b/>
                <w:color w:val="FFFFFF"/>
                <w:sz w:val="16"/>
              </w:rPr>
              <w:t>Provider-selection authority</w:t>
            </w:r>
          </w:p>
        </w:tc>
      </w:tr>
      <w:tr>
        <w:tc>
          <w:tcPr>
            <w:tcW w:type="dxa" w:w="1656"/>
            <w:vAlign w:val="center"/>
          </w:tcPr>
          <w:p>
            <w:pPr>
              <w:spacing w:after="0"/>
              <w:jc w:val="left"/>
            </w:pPr>
            <w:r/>
            <w:r>
              <w:rPr>
                <w:rFonts w:ascii="Arial" w:hAnsi="Arial"/>
                <w:b w:val="0"/>
                <w:color w:val="000000"/>
                <w:sz w:val="16"/>
              </w:rPr>
              <w:t>Gemini</w:t>
            </w:r>
          </w:p>
        </w:tc>
        <w:tc>
          <w:tcPr>
            <w:tcW w:type="dxa" w:w="1800"/>
            <w:vAlign w:val="center"/>
          </w:tcPr>
          <w:p>
            <w:pPr>
              <w:spacing w:after="0"/>
              <w:jc w:val="center"/>
            </w:pPr>
            <w:r/>
            <w:r>
              <w:rPr>
                <w:rFonts w:ascii="Arial" w:hAnsi="Arial"/>
                <w:b w:val="0"/>
                <w:color w:val="000000"/>
                <w:sz w:val="16"/>
              </w:rPr>
              <w:t>6</w:t>
            </w:r>
          </w:p>
        </w:tc>
        <w:tc>
          <w:tcPr>
            <w:tcW w:type="dxa" w:w="2088"/>
            <w:vAlign w:val="center"/>
          </w:tcPr>
          <w:p>
            <w:pPr>
              <w:spacing w:after="0"/>
              <w:jc w:val="center"/>
            </w:pPr>
            <w:r/>
            <w:r>
              <w:rPr>
                <w:rFonts w:ascii="Arial" w:hAnsi="Arial"/>
                <w:b w:val="0"/>
                <w:color w:val="000000"/>
                <w:sz w:val="16"/>
              </w:rPr>
              <w:t>6%</w:t>
            </w:r>
          </w:p>
        </w:tc>
        <w:tc>
          <w:tcPr>
            <w:tcW w:type="dxa" w:w="1944"/>
            <w:vAlign w:val="center"/>
          </w:tcPr>
          <w:p>
            <w:pPr>
              <w:spacing w:after="0"/>
              <w:jc w:val="center"/>
            </w:pPr>
            <w:r/>
            <w:r>
              <w:rPr>
                <w:rFonts w:ascii="Arial" w:hAnsi="Arial"/>
                <w:b w:val="0"/>
                <w:color w:val="000000"/>
                <w:sz w:val="16"/>
              </w:rPr>
              <w:t>2.00</w:t>
            </w:r>
          </w:p>
        </w:tc>
        <w:tc>
          <w:tcPr>
            <w:tcW w:type="dxa" w:w="2376"/>
            <w:vAlign w:val="center"/>
          </w:tcPr>
          <w:p>
            <w:pPr>
              <w:spacing w:after="0"/>
              <w:jc w:val="center"/>
            </w:pPr>
            <w:r/>
            <w:r>
              <w:rPr>
                <w:rFonts w:ascii="Arial" w:hAnsi="Arial"/>
                <w:b w:val="0"/>
                <w:color w:val="000000"/>
                <w:sz w:val="16"/>
              </w:rPr>
              <w:t>6 of 29  20.7%</w:t>
            </w:r>
          </w:p>
        </w:tc>
      </w:tr>
      <w:tr>
        <w:tc>
          <w:tcPr>
            <w:tcW w:type="dxa" w:w="1656"/>
            <w:vAlign w:val="center"/>
            <w:shd w:fill="F3F6F9"/>
          </w:tcPr>
          <w:p>
            <w:pPr>
              <w:spacing w:after="0"/>
              <w:jc w:val="left"/>
            </w:pPr>
            <w:r/>
            <w:r>
              <w:rPr>
                <w:rFonts w:ascii="Arial" w:hAnsi="Arial"/>
                <w:b w:val="0"/>
                <w:color w:val="000000"/>
                <w:sz w:val="16"/>
              </w:rPr>
              <w:t>Perplexity</w:t>
            </w:r>
          </w:p>
        </w:tc>
        <w:tc>
          <w:tcPr>
            <w:tcW w:type="dxa" w:w="1800"/>
            <w:vAlign w:val="center"/>
            <w:shd w:fill="F3F6F9"/>
          </w:tcPr>
          <w:p>
            <w:pPr>
              <w:spacing w:after="0"/>
              <w:jc w:val="center"/>
            </w:pPr>
            <w:r/>
            <w:r>
              <w:rPr>
                <w:rFonts w:ascii="Arial" w:hAnsi="Arial"/>
                <w:b w:val="0"/>
                <w:color w:val="000000"/>
                <w:sz w:val="16"/>
              </w:rPr>
              <w:t>14</w:t>
            </w:r>
          </w:p>
        </w:tc>
        <w:tc>
          <w:tcPr>
            <w:tcW w:type="dxa" w:w="2088"/>
            <w:vAlign w:val="center"/>
            <w:shd w:fill="F3F6F9"/>
          </w:tcPr>
          <w:p>
            <w:pPr>
              <w:spacing w:after="0"/>
              <w:jc w:val="center"/>
            </w:pPr>
            <w:r/>
            <w:r>
              <w:rPr>
                <w:rFonts w:ascii="Arial" w:hAnsi="Arial"/>
                <w:b w:val="0"/>
                <w:color w:val="000000"/>
                <w:sz w:val="16"/>
              </w:rPr>
              <w:t>14%</w:t>
            </w:r>
          </w:p>
        </w:tc>
        <w:tc>
          <w:tcPr>
            <w:tcW w:type="dxa" w:w="1944"/>
            <w:vAlign w:val="center"/>
            <w:shd w:fill="F3F6F9"/>
          </w:tcPr>
          <w:p>
            <w:pPr>
              <w:spacing w:after="0"/>
              <w:jc w:val="center"/>
            </w:pPr>
            <w:r/>
            <w:r>
              <w:rPr>
                <w:rFonts w:ascii="Arial" w:hAnsi="Arial"/>
                <w:b w:val="0"/>
                <w:color w:val="000000"/>
                <w:sz w:val="16"/>
              </w:rPr>
              <w:t>2.21</w:t>
            </w:r>
          </w:p>
        </w:tc>
        <w:tc>
          <w:tcPr>
            <w:tcW w:type="dxa" w:w="2376"/>
            <w:vAlign w:val="center"/>
            <w:shd w:fill="F3F6F9"/>
          </w:tcPr>
          <w:p>
            <w:pPr>
              <w:spacing w:after="0"/>
              <w:jc w:val="center"/>
            </w:pPr>
            <w:r/>
            <w:r>
              <w:rPr>
                <w:rFonts w:ascii="Arial" w:hAnsi="Arial"/>
                <w:b w:val="0"/>
                <w:color w:val="000000"/>
                <w:sz w:val="16"/>
              </w:rPr>
              <w:t>6 of 29  20.7%</w:t>
            </w:r>
          </w:p>
        </w:tc>
      </w:tr>
      <w:tr>
        <w:tc>
          <w:tcPr>
            <w:tcW w:type="dxa" w:w="1656"/>
            <w:vAlign w:val="center"/>
          </w:tcPr>
          <w:p>
            <w:pPr>
              <w:spacing w:after="0"/>
              <w:jc w:val="left"/>
            </w:pPr>
            <w:r/>
            <w:r>
              <w:rPr>
                <w:rFonts w:ascii="Arial" w:hAnsi="Arial"/>
                <w:b w:val="0"/>
                <w:color w:val="000000"/>
                <w:sz w:val="16"/>
              </w:rPr>
              <w:t>Claude</w:t>
            </w:r>
          </w:p>
        </w:tc>
        <w:tc>
          <w:tcPr>
            <w:tcW w:type="dxa" w:w="1800"/>
            <w:vAlign w:val="center"/>
          </w:tcPr>
          <w:p>
            <w:pPr>
              <w:spacing w:after="0"/>
              <w:jc w:val="center"/>
            </w:pPr>
            <w:r/>
            <w:r>
              <w:rPr>
                <w:rFonts w:ascii="Arial" w:hAnsi="Arial"/>
                <w:b w:val="0"/>
                <w:color w:val="000000"/>
                <w:sz w:val="16"/>
              </w:rPr>
              <w:t>6</w:t>
            </w:r>
          </w:p>
        </w:tc>
        <w:tc>
          <w:tcPr>
            <w:tcW w:type="dxa" w:w="2088"/>
            <w:vAlign w:val="center"/>
          </w:tcPr>
          <w:p>
            <w:pPr>
              <w:spacing w:after="0"/>
              <w:jc w:val="center"/>
            </w:pPr>
            <w:r/>
            <w:r>
              <w:rPr>
                <w:rFonts w:ascii="Arial" w:hAnsi="Arial"/>
                <w:b w:val="0"/>
                <w:color w:val="000000"/>
                <w:sz w:val="16"/>
              </w:rPr>
              <w:t>6%</w:t>
            </w:r>
          </w:p>
        </w:tc>
        <w:tc>
          <w:tcPr>
            <w:tcW w:type="dxa" w:w="1944"/>
            <w:vAlign w:val="center"/>
          </w:tcPr>
          <w:p>
            <w:pPr>
              <w:spacing w:after="0"/>
              <w:jc w:val="center"/>
            </w:pPr>
            <w:r/>
            <w:r>
              <w:rPr>
                <w:rFonts w:ascii="Arial" w:hAnsi="Arial"/>
                <w:b w:val="0"/>
                <w:color w:val="000000"/>
                <w:sz w:val="16"/>
              </w:rPr>
              <w:t>2.50</w:t>
            </w:r>
          </w:p>
        </w:tc>
        <w:tc>
          <w:tcPr>
            <w:tcW w:type="dxa" w:w="2376"/>
            <w:vAlign w:val="center"/>
          </w:tcPr>
          <w:p>
            <w:pPr>
              <w:spacing w:after="0"/>
              <w:jc w:val="center"/>
            </w:pPr>
            <w:r/>
            <w:r>
              <w:rPr>
                <w:rFonts w:ascii="Arial" w:hAnsi="Arial"/>
                <w:b w:val="0"/>
                <w:color w:val="000000"/>
                <w:sz w:val="16"/>
              </w:rPr>
              <w:t>6 of 29  20.7%</w:t>
            </w:r>
          </w:p>
        </w:tc>
      </w:tr>
      <w:tr>
        <w:tc>
          <w:tcPr>
            <w:tcW w:type="dxa" w:w="1656"/>
            <w:vAlign w:val="center"/>
            <w:shd w:fill="F3F6F9"/>
          </w:tcPr>
          <w:p>
            <w:pPr>
              <w:spacing w:after="0"/>
              <w:jc w:val="left"/>
            </w:pPr>
            <w:r/>
            <w:r>
              <w:rPr>
                <w:rFonts w:ascii="Arial" w:hAnsi="Arial"/>
                <w:b w:val="0"/>
                <w:color w:val="000000"/>
                <w:sz w:val="16"/>
              </w:rPr>
              <w:t>OpenAI</w:t>
            </w:r>
          </w:p>
        </w:tc>
        <w:tc>
          <w:tcPr>
            <w:tcW w:type="dxa" w:w="1800"/>
            <w:vAlign w:val="center"/>
            <w:shd w:fill="F3F6F9"/>
          </w:tcPr>
          <w:p>
            <w:pPr>
              <w:spacing w:after="0"/>
              <w:jc w:val="center"/>
            </w:pPr>
            <w:r/>
            <w:r>
              <w:rPr>
                <w:rFonts w:ascii="Arial" w:hAnsi="Arial"/>
                <w:b w:val="0"/>
                <w:color w:val="000000"/>
                <w:sz w:val="16"/>
              </w:rPr>
              <w:t>7</w:t>
            </w:r>
          </w:p>
        </w:tc>
        <w:tc>
          <w:tcPr>
            <w:tcW w:type="dxa" w:w="2088"/>
            <w:vAlign w:val="center"/>
            <w:shd w:fill="F3F6F9"/>
          </w:tcPr>
          <w:p>
            <w:pPr>
              <w:spacing w:after="0"/>
              <w:jc w:val="center"/>
            </w:pPr>
            <w:r/>
            <w:r>
              <w:rPr>
                <w:rFonts w:ascii="Arial" w:hAnsi="Arial"/>
                <w:b w:val="0"/>
                <w:color w:val="000000"/>
                <w:sz w:val="16"/>
              </w:rPr>
              <w:t>7%</w:t>
            </w:r>
          </w:p>
        </w:tc>
        <w:tc>
          <w:tcPr>
            <w:tcW w:type="dxa" w:w="1944"/>
            <w:vAlign w:val="center"/>
            <w:shd w:fill="F3F6F9"/>
          </w:tcPr>
          <w:p>
            <w:pPr>
              <w:spacing w:after="0"/>
              <w:jc w:val="center"/>
            </w:pPr>
            <w:r/>
            <w:r>
              <w:rPr>
                <w:rFonts w:ascii="Arial" w:hAnsi="Arial"/>
                <w:b w:val="0"/>
                <w:color w:val="000000"/>
                <w:sz w:val="16"/>
              </w:rPr>
              <w:t>2.29</w:t>
            </w:r>
          </w:p>
        </w:tc>
        <w:tc>
          <w:tcPr>
            <w:tcW w:type="dxa" w:w="2376"/>
            <w:vAlign w:val="center"/>
            <w:shd w:fill="F3F6F9"/>
          </w:tcPr>
          <w:p>
            <w:pPr>
              <w:spacing w:after="0"/>
              <w:jc w:val="center"/>
            </w:pPr>
            <w:r/>
            <w:r>
              <w:rPr>
                <w:rFonts w:ascii="Arial" w:hAnsi="Arial"/>
                <w:b w:val="0"/>
                <w:color w:val="000000"/>
                <w:sz w:val="16"/>
              </w:rPr>
              <w:t>7 of 29  24.1%</w:t>
            </w:r>
          </w:p>
        </w:tc>
      </w:tr>
      <w:tr>
        <w:tc>
          <w:tcPr>
            <w:tcW w:type="dxa" w:w="1656"/>
            <w:vAlign w:val="center"/>
          </w:tcPr>
          <w:p>
            <w:pPr>
              <w:spacing w:after="0"/>
              <w:jc w:val="left"/>
            </w:pPr>
            <w:r/>
            <w:r>
              <w:rPr>
                <w:rFonts w:ascii="Arial" w:hAnsi="Arial"/>
                <w:b w:val="0"/>
                <w:color w:val="000000"/>
                <w:sz w:val="16"/>
              </w:rPr>
              <w:t>Total</w:t>
            </w:r>
          </w:p>
        </w:tc>
        <w:tc>
          <w:tcPr>
            <w:tcW w:type="dxa" w:w="1800"/>
            <w:vAlign w:val="center"/>
          </w:tcPr>
          <w:p>
            <w:pPr>
              <w:spacing w:after="0"/>
              <w:jc w:val="center"/>
            </w:pPr>
            <w:r/>
            <w:r>
              <w:rPr>
                <w:rFonts w:ascii="Arial" w:hAnsi="Arial"/>
                <w:b w:val="0"/>
                <w:color w:val="000000"/>
                <w:sz w:val="16"/>
              </w:rPr>
              <w:t>33</w:t>
            </w:r>
          </w:p>
        </w:tc>
        <w:tc>
          <w:tcPr>
            <w:tcW w:type="dxa" w:w="2088"/>
            <w:vAlign w:val="center"/>
          </w:tcPr>
          <w:p>
            <w:pPr>
              <w:spacing w:after="0"/>
              <w:jc w:val="center"/>
            </w:pPr>
            <w:r/>
            <w:r>
              <w:rPr>
                <w:rFonts w:ascii="Arial" w:hAnsi="Arial"/>
                <w:b w:val="0"/>
                <w:color w:val="000000"/>
                <w:sz w:val="16"/>
              </w:rPr>
              <w:t>8.3%</w:t>
            </w:r>
          </w:p>
        </w:tc>
        <w:tc>
          <w:tcPr>
            <w:tcW w:type="dxa" w:w="1944"/>
            <w:vAlign w:val="center"/>
          </w:tcPr>
          <w:p>
            <w:pPr>
              <w:spacing w:after="0"/>
              <w:jc w:val="center"/>
            </w:pPr>
            <w:r/>
            <w:r>
              <w:rPr>
                <w:rFonts w:ascii="Arial" w:hAnsi="Arial"/>
                <w:b w:val="0"/>
                <w:color w:val="000000"/>
                <w:sz w:val="16"/>
              </w:rPr>
              <w:t>2.24</w:t>
            </w:r>
          </w:p>
        </w:tc>
        <w:tc>
          <w:tcPr>
            <w:tcW w:type="dxa" w:w="2376"/>
            <w:vAlign w:val="center"/>
          </w:tcPr>
          <w:p>
            <w:pPr>
              <w:spacing w:after="0"/>
              <w:jc w:val="center"/>
            </w:pPr>
            <w:r/>
            <w:r>
              <w:rPr>
                <w:rFonts w:ascii="Arial" w:hAnsi="Arial"/>
                <w:b w:val="0"/>
                <w:color w:val="000000"/>
                <w:sz w:val="16"/>
              </w:rPr>
              <w:t>25 of 116  21.6%</w:t>
            </w:r>
          </w:p>
        </w:tc>
      </w:tr>
    </w:tbl>
    <w:p>
      <w:pPr>
        <w:spacing w:after="0"/>
      </w:pPr>
    </w:p>
    <w:tbl>
      <w:tblPr>
        <w:tblW w:type="auto" w:w="0"/>
        <w:jc w:val="center"/>
        <w:tblLayout w:type="fixed"/>
        <w:tblLook w:firstColumn="1" w:firstRow="1" w:lastColumn="0" w:lastRow="0" w:noHBand="0" w:noVBand="1" w:val="04A0"/>
        <w:tblBorders>
          <w:top w:val="single" w:sz="8" w:color="B4C7E7"/>
          <w:left w:val="single" w:sz="8" w:color="B4C7E7"/>
          <w:bottom w:val="single" w:sz="8" w:color="B4C7E7"/>
          <w:right w:val="single" w:sz="8" w:color="B4C7E7"/>
          <w:insideH w:val="single" w:sz="8" w:color="B4C7E7"/>
          <w:insideV w:val="single" w:sz="8" w:color="B4C7E7"/>
        </w:tblBorders>
      </w:tblPr>
      <w:tblGrid>
        <w:gridCol w:w="9648"/>
      </w:tblGrid>
      <w:tr>
        <w:tc>
          <w:tcPr>
            <w:tcW w:type="dxa" w:w="10224"/>
            <w:shd w:fill="EAF1F8"/>
          </w:tcPr>
          <w:p>
            <w:pPr>
              <w:spacing w:after="80"/>
            </w:pPr>
            <w:r>
              <w:rPr>
                <w:rFonts w:ascii="Arial" w:hAnsi="Arial"/>
                <w:b/>
                <w:color w:val="17365D"/>
                <w:sz w:val="22"/>
              </w:rPr>
              <w:t>Authority gap</w:t>
            </w:r>
          </w:p>
          <w:p>
            <w:pPr>
              <w:spacing w:after="40" w:line="252" w:lineRule="auto"/>
            </w:pPr>
            <w:r>
              <w:rPr>
                <w:rFonts w:ascii="Arial" w:hAnsi="Arial"/>
                <w:sz w:val="19"/>
              </w:rPr>
              <w:t>CSI was mentioned in 170 observations, but only 33 observations contained qualifying independent corroboration. That equals 19.4% of CSI-mentioned observations. Visibility is expanding faster than third-party validation.</w:t>
            </w:r>
          </w:p>
        </w:tc>
      </w:tr>
    </w:tbl>
    <w:p>
      <w:pPr>
        <w:spacing w:after="20"/>
      </w:pPr>
    </w:p>
    <w:p>
      <w:pPr>
        <w:pStyle w:val="Heading2"/>
      </w:pPr>
      <w:r>
        <w:t>Implications</w:t>
      </w:r>
    </w:p>
    <w:p>
      <w:r>
        <w:rPr>
          <w:b/>
        </w:rPr>
        <w:t xml:space="preserve">Owned content is improving discoverability. </w:t>
      </w:r>
      <w:r>
        <w:t>The rise in CSI source frequency indicates that the website and related CSI-controlled properties are being retrieved more often. This supports the content-cluster strategy, particularly on Perplexity.</w:t>
      </w:r>
    </w:p>
    <w:p>
      <w:r>
        <w:rPr>
          <w:b/>
        </w:rPr>
        <w:t xml:space="preserve">Independent evidence remains the limiting signal. </w:t>
      </w:r>
      <w:r>
        <w:t>The strongest path to durable recommendation visibility is external validation tied to specific claims: documented project roles, partner confirmation, conference proceedings, customer-approved case material, and recognized industry publications.</w:t>
      </w:r>
    </w:p>
    <w:p>
      <w:r>
        <w:rPr>
          <w:b/>
        </w:rPr>
        <w:t xml:space="preserve">Provider-selection prompts show more commercial promise. </w:t>
      </w:r>
      <w:r>
        <w:t>Independent authority qualified in 21.6% of provider-selection observations, materially above the 8.3% rate across the full benchmark. Decision-stage content should therefore be paired with credible external evidence.</w:t>
      </w:r>
    </w:p>
    <w:p>
      <w:pPr>
        <w:pStyle w:val="Heading2"/>
      </w:pPr>
      <w:r>
        <w:t>Competitive context</w:t>
      </w:r>
    </w:p>
    <w:p>
      <w:r>
        <w:t>Yokogawa and Wood remained the most frequently named competitors across the four platforms. Wood increased from 125 to 131 top-list appearances, while Yokogawa moved from 141 to 136. CSI’s opportunity is to own narrower decision claims where large vendors have broad recognition but less specific evidence around vendor-neutral OPA execution, EPC estimating, migration planning, and business-case development.</w:t>
      </w:r>
    </w:p>
    <w:p>
      <w:r>
        <w:br w:type="page"/>
      </w:r>
    </w:p>
    <w:p>
      <w:pPr>
        <w:pStyle w:val="Heading1"/>
      </w:pPr>
      <w:r>
        <w:t>Recommended action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c>
          <w:tcPr>
            <w:tcW w:type="dxa" w:w="720"/>
            <w:vAlign w:val="center"/>
            <w:shd w:fill="17365D"/>
          </w:tcPr>
          <w:p>
            <w:pPr>
              <w:spacing w:after="0"/>
              <w:jc w:val="center"/>
            </w:pPr>
            <w:r/>
            <w:r>
              <w:rPr>
                <w:rFonts w:ascii="Arial" w:hAnsi="Arial"/>
                <w:b/>
                <w:color w:val="FFFFFF"/>
                <w:sz w:val="16"/>
              </w:rPr>
              <w:t>Priority</w:t>
            </w:r>
          </w:p>
        </w:tc>
        <w:tc>
          <w:tcPr>
            <w:tcW w:type="dxa" w:w="3384"/>
            <w:vAlign w:val="center"/>
            <w:shd w:fill="17365D"/>
          </w:tcPr>
          <w:p>
            <w:pPr>
              <w:spacing w:after="0"/>
              <w:jc w:val="center"/>
            </w:pPr>
            <w:r/>
            <w:r>
              <w:rPr>
                <w:rFonts w:ascii="Arial" w:hAnsi="Arial"/>
                <w:b/>
                <w:color w:val="FFFFFF"/>
                <w:sz w:val="16"/>
              </w:rPr>
              <w:t>Action</w:t>
            </w:r>
          </w:p>
        </w:tc>
        <w:tc>
          <w:tcPr>
            <w:tcW w:type="dxa" w:w="2304"/>
            <w:vAlign w:val="center"/>
            <w:shd w:fill="17365D"/>
          </w:tcPr>
          <w:p>
            <w:pPr>
              <w:spacing w:after="0"/>
              <w:jc w:val="center"/>
            </w:pPr>
            <w:r/>
            <w:r>
              <w:rPr>
                <w:rFonts w:ascii="Arial" w:hAnsi="Arial"/>
                <w:b/>
                <w:color w:val="FFFFFF"/>
                <w:sz w:val="16"/>
              </w:rPr>
              <w:t>Decision signal to improve</w:t>
            </w:r>
          </w:p>
        </w:tc>
        <w:tc>
          <w:tcPr>
            <w:tcW w:type="dxa" w:w="3168"/>
            <w:vAlign w:val="center"/>
            <w:shd w:fill="17365D"/>
          </w:tcPr>
          <w:p>
            <w:pPr>
              <w:spacing w:after="0"/>
              <w:jc w:val="center"/>
            </w:pPr>
            <w:r/>
            <w:r>
              <w:rPr>
                <w:rFonts w:ascii="Arial" w:hAnsi="Arial"/>
                <w:b/>
                <w:color w:val="FFFFFF"/>
                <w:sz w:val="16"/>
              </w:rPr>
              <w:t>Evidence required</w:t>
            </w:r>
          </w:p>
        </w:tc>
      </w:tr>
      <w:tr>
        <w:tc>
          <w:tcPr>
            <w:tcW w:type="dxa" w:w="720"/>
            <w:vAlign w:val="center"/>
          </w:tcPr>
          <w:p>
            <w:pPr>
              <w:spacing w:after="0"/>
              <w:jc w:val="left"/>
            </w:pPr>
            <w:r/>
            <w:r>
              <w:rPr>
                <w:rFonts w:ascii="Arial" w:hAnsi="Arial"/>
                <w:b w:val="0"/>
                <w:color w:val="000000"/>
                <w:sz w:val="15"/>
              </w:rPr>
              <w:t>1</w:t>
            </w:r>
          </w:p>
        </w:tc>
        <w:tc>
          <w:tcPr>
            <w:tcW w:type="dxa" w:w="3384"/>
            <w:vAlign w:val="center"/>
          </w:tcPr>
          <w:p>
            <w:pPr>
              <w:spacing w:after="0"/>
              <w:jc w:val="center"/>
            </w:pPr>
            <w:r/>
            <w:r>
              <w:rPr>
                <w:rFonts w:ascii="Arial" w:hAnsi="Arial"/>
                <w:b w:val="0"/>
                <w:color w:val="000000"/>
                <w:sz w:val="15"/>
              </w:rPr>
              <w:t>Publish an OPA business-case and EPC execution hub with decision pages for estimating, scope definition, migration planning, and implementation risk.</w:t>
            </w:r>
          </w:p>
        </w:tc>
        <w:tc>
          <w:tcPr>
            <w:tcW w:type="dxa" w:w="2304"/>
            <w:vAlign w:val="center"/>
          </w:tcPr>
          <w:p>
            <w:pPr>
              <w:spacing w:after="0"/>
              <w:jc w:val="center"/>
            </w:pPr>
            <w:r/>
            <w:r>
              <w:rPr>
                <w:rFonts w:ascii="Arial" w:hAnsi="Arial"/>
                <w:b w:val="0"/>
                <w:color w:val="000000"/>
                <w:sz w:val="15"/>
              </w:rPr>
              <w:t>Gemini and OpenAI recommendations; weak business-case and procurement categories.</w:t>
            </w:r>
          </w:p>
        </w:tc>
        <w:tc>
          <w:tcPr>
            <w:tcW w:type="dxa" w:w="3168"/>
            <w:vAlign w:val="center"/>
          </w:tcPr>
          <w:p>
            <w:pPr>
              <w:spacing w:after="0"/>
              <w:jc w:val="center"/>
            </w:pPr>
            <w:r/>
            <w:r>
              <w:rPr>
                <w:rFonts w:ascii="Arial" w:hAnsi="Arial"/>
                <w:b w:val="0"/>
                <w:color w:val="000000"/>
                <w:sz w:val="15"/>
              </w:rPr>
              <w:t>Named methodology, worked examples, assumptions, deliverables, and verifiable project evidence.</w:t>
            </w:r>
          </w:p>
        </w:tc>
      </w:tr>
      <w:tr>
        <w:tc>
          <w:tcPr>
            <w:tcW w:type="dxa" w:w="720"/>
            <w:vAlign w:val="center"/>
            <w:shd w:fill="F3F6F9"/>
          </w:tcPr>
          <w:p>
            <w:pPr>
              <w:spacing w:after="0"/>
              <w:jc w:val="left"/>
            </w:pPr>
            <w:r/>
            <w:r>
              <w:rPr>
                <w:rFonts w:ascii="Arial" w:hAnsi="Arial"/>
                <w:b w:val="0"/>
                <w:color w:val="000000"/>
                <w:sz w:val="15"/>
              </w:rPr>
              <w:t>2</w:t>
            </w:r>
          </w:p>
        </w:tc>
        <w:tc>
          <w:tcPr>
            <w:tcW w:type="dxa" w:w="3384"/>
            <w:vAlign w:val="center"/>
            <w:shd w:fill="F3F6F9"/>
          </w:tcPr>
          <w:p>
            <w:pPr>
              <w:spacing w:after="0"/>
              <w:jc w:val="center"/>
            </w:pPr>
            <w:r/>
            <w:r>
              <w:rPr>
                <w:rFonts w:ascii="Arial" w:hAnsi="Arial"/>
                <w:b w:val="0"/>
                <w:color w:val="000000"/>
                <w:sz w:val="15"/>
              </w:rPr>
              <w:t>Secure claim-matched third-party corroboration for CSI’s strongest propositions.</w:t>
            </w:r>
          </w:p>
        </w:tc>
        <w:tc>
          <w:tcPr>
            <w:tcW w:type="dxa" w:w="2304"/>
            <w:vAlign w:val="center"/>
            <w:shd w:fill="F3F6F9"/>
          </w:tcPr>
          <w:p>
            <w:pPr>
              <w:spacing w:after="0"/>
              <w:jc w:val="center"/>
            </w:pPr>
            <w:r/>
            <w:r>
              <w:rPr>
                <w:rFonts w:ascii="Arial" w:hAnsi="Arial"/>
                <w:b w:val="0"/>
                <w:color w:val="000000"/>
                <w:sz w:val="15"/>
              </w:rPr>
              <w:t>Independent authority and recommendation confidence.</w:t>
            </w:r>
          </w:p>
        </w:tc>
        <w:tc>
          <w:tcPr>
            <w:tcW w:type="dxa" w:w="3168"/>
            <w:vAlign w:val="center"/>
            <w:shd w:fill="F3F6F9"/>
          </w:tcPr>
          <w:p>
            <w:pPr>
              <w:spacing w:after="0"/>
              <w:jc w:val="center"/>
            </w:pPr>
            <w:r/>
            <w:r>
              <w:rPr>
                <w:rFonts w:ascii="Arial" w:hAnsi="Arial"/>
                <w:b w:val="0"/>
                <w:color w:val="000000"/>
                <w:sz w:val="15"/>
              </w:rPr>
              <w:t>Partner or client confirmation, conference proceedings, formal case material, trade publication coverage, or industry-body references.</w:t>
            </w:r>
          </w:p>
        </w:tc>
      </w:tr>
      <w:tr>
        <w:tc>
          <w:tcPr>
            <w:tcW w:type="dxa" w:w="720"/>
            <w:vAlign w:val="center"/>
          </w:tcPr>
          <w:p>
            <w:pPr>
              <w:spacing w:after="0"/>
              <w:jc w:val="left"/>
            </w:pPr>
            <w:r/>
            <w:r>
              <w:rPr>
                <w:rFonts w:ascii="Arial" w:hAnsi="Arial"/>
                <w:b w:val="0"/>
                <w:color w:val="000000"/>
                <w:sz w:val="15"/>
              </w:rPr>
              <w:t>3</w:t>
            </w:r>
          </w:p>
        </w:tc>
        <w:tc>
          <w:tcPr>
            <w:tcW w:type="dxa" w:w="3384"/>
            <w:vAlign w:val="center"/>
          </w:tcPr>
          <w:p>
            <w:pPr>
              <w:spacing w:after="0"/>
              <w:jc w:val="center"/>
            </w:pPr>
            <w:r/>
            <w:r>
              <w:rPr>
                <w:rFonts w:ascii="Arial" w:hAnsi="Arial"/>
                <w:b w:val="0"/>
                <w:color w:val="000000"/>
                <w:sz w:val="15"/>
              </w:rPr>
              <w:t>Clarify CSI entity naming and claims on pages Claude already retrieves.</w:t>
            </w:r>
          </w:p>
        </w:tc>
        <w:tc>
          <w:tcPr>
            <w:tcW w:type="dxa" w:w="2304"/>
            <w:vAlign w:val="center"/>
          </w:tcPr>
          <w:p>
            <w:pPr>
              <w:spacing w:after="0"/>
              <w:jc w:val="center"/>
            </w:pPr>
            <w:r/>
            <w:r>
              <w:rPr>
                <w:rFonts w:ascii="Arial" w:hAnsi="Arial"/>
                <w:b w:val="0"/>
                <w:color w:val="000000"/>
                <w:sz w:val="15"/>
              </w:rPr>
              <w:t>Claude mentions and entity association.</w:t>
            </w:r>
          </w:p>
        </w:tc>
        <w:tc>
          <w:tcPr>
            <w:tcW w:type="dxa" w:w="3168"/>
            <w:vAlign w:val="center"/>
          </w:tcPr>
          <w:p>
            <w:pPr>
              <w:spacing w:after="0"/>
              <w:jc w:val="center"/>
            </w:pPr>
            <w:r/>
            <w:r>
              <w:rPr>
                <w:rFonts w:ascii="Arial" w:hAnsi="Arial"/>
                <w:b w:val="0"/>
                <w:color w:val="000000"/>
                <w:sz w:val="15"/>
              </w:rPr>
              <w:t>Consistent CSI naming, concise claim statements, expert bios, explicit service-to-evidence links, and stable page metadata.</w:t>
            </w:r>
          </w:p>
        </w:tc>
      </w:tr>
      <w:tr>
        <w:tc>
          <w:tcPr>
            <w:tcW w:type="dxa" w:w="720"/>
            <w:vAlign w:val="center"/>
            <w:shd w:fill="F3F6F9"/>
          </w:tcPr>
          <w:p>
            <w:pPr>
              <w:spacing w:after="0"/>
              <w:jc w:val="left"/>
            </w:pPr>
            <w:r/>
            <w:r>
              <w:rPr>
                <w:rFonts w:ascii="Arial" w:hAnsi="Arial"/>
                <w:b w:val="0"/>
                <w:color w:val="000000"/>
                <w:sz w:val="15"/>
              </w:rPr>
              <w:t>4</w:t>
            </w:r>
          </w:p>
        </w:tc>
        <w:tc>
          <w:tcPr>
            <w:tcW w:type="dxa" w:w="3384"/>
            <w:vAlign w:val="center"/>
            <w:shd w:fill="F3F6F9"/>
          </w:tcPr>
          <w:p>
            <w:pPr>
              <w:spacing w:after="0"/>
              <w:jc w:val="center"/>
            </w:pPr>
            <w:r/>
            <w:r>
              <w:rPr>
                <w:rFonts w:ascii="Arial" w:hAnsi="Arial"/>
                <w:b w:val="0"/>
                <w:color w:val="000000"/>
                <w:sz w:val="15"/>
              </w:rPr>
              <w:t>Create provider-selection comparison pages built around buyer decisions.</w:t>
            </w:r>
          </w:p>
        </w:tc>
        <w:tc>
          <w:tcPr>
            <w:tcW w:type="dxa" w:w="2304"/>
            <w:vAlign w:val="center"/>
            <w:shd w:fill="F3F6F9"/>
          </w:tcPr>
          <w:p>
            <w:pPr>
              <w:spacing w:after="0"/>
              <w:jc w:val="center"/>
            </w:pPr>
            <w:r/>
            <w:r>
              <w:rPr>
                <w:rFonts w:ascii="Arial" w:hAnsi="Arial"/>
                <w:b w:val="0"/>
                <w:color w:val="000000"/>
                <w:sz w:val="15"/>
              </w:rPr>
              <w:t>Commercial recommendation share.</w:t>
            </w:r>
          </w:p>
        </w:tc>
        <w:tc>
          <w:tcPr>
            <w:tcW w:type="dxa" w:w="3168"/>
            <w:vAlign w:val="center"/>
            <w:shd w:fill="F3F6F9"/>
          </w:tcPr>
          <w:p>
            <w:pPr>
              <w:spacing w:after="0"/>
              <w:jc w:val="center"/>
            </w:pPr>
            <w:r/>
            <w:r>
              <w:rPr>
                <w:rFonts w:ascii="Arial" w:hAnsi="Arial"/>
                <w:b w:val="0"/>
                <w:color w:val="000000"/>
                <w:sz w:val="15"/>
              </w:rPr>
              <w:t>Transparent selection criteria, role clarity, proof points, limitations, and links to independent evidence.</w:t>
            </w:r>
          </w:p>
        </w:tc>
      </w:tr>
      <w:tr>
        <w:tc>
          <w:tcPr>
            <w:tcW w:type="dxa" w:w="720"/>
            <w:vAlign w:val="center"/>
          </w:tcPr>
          <w:p>
            <w:pPr>
              <w:spacing w:after="0"/>
              <w:jc w:val="left"/>
            </w:pPr>
            <w:r/>
            <w:r>
              <w:rPr>
                <w:rFonts w:ascii="Arial" w:hAnsi="Arial"/>
                <w:b w:val="0"/>
                <w:color w:val="000000"/>
                <w:sz w:val="15"/>
              </w:rPr>
              <w:t>5</w:t>
            </w:r>
          </w:p>
        </w:tc>
        <w:tc>
          <w:tcPr>
            <w:tcW w:type="dxa" w:w="3384"/>
            <w:vAlign w:val="center"/>
          </w:tcPr>
          <w:p>
            <w:pPr>
              <w:spacing w:after="0"/>
              <w:jc w:val="center"/>
            </w:pPr>
            <w:r/>
            <w:r>
              <w:rPr>
                <w:rFonts w:ascii="Arial" w:hAnsi="Arial"/>
                <w:b w:val="0"/>
                <w:color w:val="000000"/>
                <w:sz w:val="15"/>
              </w:rPr>
              <w:t>Track citation quality separately from citation volume.</w:t>
            </w:r>
          </w:p>
        </w:tc>
        <w:tc>
          <w:tcPr>
            <w:tcW w:type="dxa" w:w="2304"/>
            <w:vAlign w:val="center"/>
          </w:tcPr>
          <w:p>
            <w:pPr>
              <w:spacing w:after="0"/>
              <w:jc w:val="center"/>
            </w:pPr>
            <w:r/>
            <w:r>
              <w:rPr>
                <w:rFonts w:ascii="Arial" w:hAnsi="Arial"/>
                <w:b w:val="0"/>
                <w:color w:val="000000"/>
                <w:sz w:val="15"/>
              </w:rPr>
              <w:t>Owned-source dependence and platform resilience.</w:t>
            </w:r>
          </w:p>
        </w:tc>
        <w:tc>
          <w:tcPr>
            <w:tcW w:type="dxa" w:w="3168"/>
            <w:vAlign w:val="center"/>
          </w:tcPr>
          <w:p>
            <w:pPr>
              <w:spacing w:after="0"/>
              <w:jc w:val="center"/>
            </w:pPr>
            <w:r/>
            <w:r>
              <w:rPr>
                <w:rFonts w:ascii="Arial" w:hAnsi="Arial"/>
                <w:b w:val="0"/>
                <w:color w:val="000000"/>
                <w:sz w:val="15"/>
              </w:rPr>
              <w:t>Monthly counts for owned, mixed, and independent support, plus claim-level authority gaps.</w:t>
            </w:r>
          </w:p>
        </w:tc>
      </w:tr>
    </w:tbl>
    <w:p>
      <w:pPr>
        <w:spacing w:after="0"/>
      </w:pPr>
    </w:p>
    <w:p>
      <w:pPr>
        <w:pStyle w:val="Heading2"/>
      </w:pPr>
      <w:r>
        <w:t>Measurement recommendation</w:t>
      </w:r>
    </w:p>
    <w:p>
      <w:r>
        <w:t>Use the September 15 run as the post-intervention reference. Hold prompts, models, scoring rules, and platform weighting constant for the next comparison. Run the next benchmark after a defined evidence cycle rather than after routine copy edits. A practical trigger is four to six weeks after publishing the business-case and EPC cluster and securing at least two new independent, claim-matched sources.</w:t>
      </w:r>
    </w:p>
    <w:p>
      <w:pPr>
        <w:pStyle w:val="Heading2"/>
      </w:pPr>
      <w:r>
        <w:t>Methodology and limitations</w:t>
      </w:r>
    </w:p>
    <w:p>
      <w:r>
        <w:t>Each run contains 100 prompts across four platforms, producing 400 successful logical observations. Overall Visibility Index is the average of the four platform indices. Mention, citation, and recommendation shares use all 400 successful observations. Recommendation requires a visibility score of at least 4. The September Independent Authority measure used a conservative claim-matching classifier and qualified scores of 2 or 3 only.</w:t>
      </w:r>
    </w:p>
    <w:p>
      <w:r>
        <w:t>AI responses vary over time even when prompts and models are held constant. The comparison shows directional platform behavior rather than a deterministic causal effect from any single website change. The August summary did not contain populated Independent Authority fields, so authority is reported for September without a baseline delta.</w:t>
      </w:r>
    </w:p>
    <w:p>
      <w:r>
        <w:rPr>
          <w:color w:val="6B7280"/>
          <w:sz w:val="16"/>
        </w:rPr>
        <w:t>Source: CSI AI Visibility Google Sheet, Summary rows 2–5 and 10–13. Benchmark keys 2026-08-27-full100-v1 and 2026-09-15-full100-v1. Report prepared 16 September 2026.</w:t>
      </w:r>
    </w:p>
    <w:sectPr w:rsidR="00FC693F" w:rsidRPr="0006063C" w:rsidSect="00034616">
      <w:headerReference w:type="default" r:id="rId9"/>
      <w:footerReference w:type="default" r:id="rId10"/>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Collaborative Systems Integration  |  Internal performance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CSI AI Visibility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