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center"/>
      </w:pPr>
      <w:r>
        <w:drawing>
          <wp:inline distT="0" distB="0" distL="0" distR="0">
            <wp:extent cx="24003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00300" cy="685800"/>
                    </a:xfrm>
                    <a:prstGeom prst="rect">
                      <a:avLst/>
                    </a:prstGeom>
                  </pic:spPr>
                </pic:pic>
              </a:graphicData>
            </a:graphic>
          </wp:inline>
        </w:drawing>
      </w:r>
    </w:p>
    <w:p>
      <w:pPr>
        <w:spacing w:after="120" w:before="0"/>
      </w:pPr>
      <w:r>
        <w:t xml:space="preserve"/>
      </w:r>
    </w:p>
    <w:p>
      <w:pPr>
        <w:jc w:val="center"/>
      </w:pPr>
      <w:r>
        <w:rPr>
          <w:rFonts w:ascii="Arial" w:cs="Arial" w:eastAsia="Arial" w:hAnsi="Arial"/>
          <w:b/>
          <w:bCs/>
          <w:color w:val="1A3A5C"/>
          <w:sz w:val="40"/>
          <w:szCs w:val="40"/>
        </w:rPr>
        <w:t xml:space="preserve">MaiaEdge, Inc.</w:t>
      </w:r>
    </w:p>
    <w:p>
      <w:pPr>
        <w:jc w:val="center"/>
      </w:pPr>
      <w:r>
        <w:rPr>
          <w:rFonts w:ascii="Arial" w:cs="Arial" w:eastAsia="Arial" w:hAnsi="Arial"/>
          <w:b/>
          <w:bCs/>
          <w:color w:val="D4A017"/>
          <w:sz w:val="32"/>
          <w:szCs w:val="32"/>
        </w:rPr>
        <w:t xml:space="preserve">Sales Compensation Plan</w:t>
      </w:r>
    </w:p>
    <w:p>
      <w:pPr>
        <w:spacing w:after="80" w:before="0"/>
      </w:pPr>
      <w:r>
        <w:t xml:space="preserve"/>
      </w:r>
    </w:p>
    <w:p>
      <w:pPr>
        <w:pBdr>
          <w:top w:val="single" w:color="D4A017" w:sz="6" w:space="4"/>
          <w:bottom w:val="single" w:color="D4A017" w:sz="6" w:space="4"/>
        </w:pBdr>
        <w:spacing w:after="80" w:before="80"/>
        <w:jc w:val="center"/>
      </w:pPr>
      <w:r>
        <w:rPr>
          <w:rFonts w:ascii="Arial" w:cs="Arial" w:eastAsia="Arial" w:hAnsi="Arial"/>
          <w:color w:val="555555"/>
          <w:sz w:val="26"/>
          <w:szCs w:val="26"/>
        </w:rPr>
        <w:t xml:space="preserve">Fiscal Year 2026</w:t>
      </w:r>
    </w:p>
    <w:p>
      <w:pPr>
        <w:spacing w:after="240" w:before="0"/>
      </w:pPr>
      <w:r>
        <w:t xml:space="preserve"/>
      </w:r>
    </w:p>
    <w:p>
      <w:pPr>
        <w:jc w:val="center"/>
      </w:pPr>
      <w:r>
        <w:rPr>
          <w:rFonts w:ascii="Arial" w:cs="Arial" w:eastAsia="Arial" w:hAnsi="Arial"/>
          <w:b/>
          <w:bCs/>
          <w:color w:val="1A3A5C"/>
          <w:sz w:val="34"/>
          <w:szCs w:val="34"/>
        </w:rPr>
        <w:t xml:space="preserve">Woody Acosta</w:t>
      </w:r>
    </w:p>
    <w:p>
      <w:pPr>
        <w:jc w:val="center"/>
      </w:pPr>
      <w:r>
        <w:rPr>
          <w:rFonts w:ascii="Arial" w:cs="Arial" w:eastAsia="Arial" w:hAnsi="Arial"/>
          <w:color w:val="555555"/>
          <w:sz w:val="26"/>
          <w:szCs w:val="26"/>
        </w:rPr>
        <w:t xml:space="preserve">Sales Support</w:t>
      </w:r>
    </w:p>
    <w:p>
      <w:pPr>
        <w:jc w:val="center"/>
      </w:pPr>
      <w:r>
        <w:rPr>
          <w:rFonts w:ascii="Arial" w:cs="Arial" w:eastAsia="Arial" w:hAnsi="Arial"/>
          <w:color w:val="888888"/>
          <w:sz w:val="24"/>
          <w:szCs w:val="24"/>
        </w:rPr>
        <w:t xml:space="preserve">Global</w:t>
      </w:r>
    </w:p>
    <w:p>
      <w:pPr>
        <w:spacing w:after="200" w:before="0"/>
      </w:pPr>
      <w:r>
        <w:t xml:space="preserve"/>
      </w:r>
    </w:p>
    <w:p>
      <w:pPr>
        <w:jc w:val="center"/>
      </w:pPr>
      <w:r>
        <w:rPr>
          <w:rFonts w:ascii="Arial" w:cs="Arial" w:eastAsia="Arial" w:hAnsi="Arial"/>
          <w:color w:val="555555"/>
          <w:sz w:val="22"/>
          <w:szCs w:val="22"/>
        </w:rPr>
        <w:t xml:space="preserve">Effective Date: January 20, 2026</w:t>
      </w:r>
    </w:p>
    <w:p>
      <w:pPr>
        <w:jc w:val="center"/>
      </w:pPr>
      <w:r>
        <w:rPr>
          <w:rFonts w:ascii="Arial" w:cs="Arial" w:eastAsia="Arial" w:hAnsi="Arial"/>
          <w:color w:val="555555"/>
          <w:sz w:val="22"/>
          <w:szCs w:val="22"/>
        </w:rPr>
        <w:t xml:space="preserve">Currency: USD</w:t>
      </w:r>
    </w:p>
    <w:p>
      <w:pPr>
        <w:spacing w:after="400" w:before="0"/>
      </w:pPr>
      <w:r>
        <w:t xml:space="preserve"/>
      </w:r>
    </w:p>
    <w:p>
      <w:pPr>
        <w:jc w:val="center"/>
      </w:pPr>
      <w:r>
        <w:rPr>
          <w:rFonts w:ascii="Arial" w:cs="Arial" w:eastAsia="Arial" w:hAnsi="Arial"/>
          <w:i/>
          <w:iCs/>
          <w:color w:val="AAAAAA"/>
          <w:sz w:val="18"/>
          <w:szCs w:val="18"/>
        </w:rPr>
        <w:t xml:space="preserve">CONFIDENTIAL</w:t>
      </w:r>
    </w:p>
    <w:p>
      <w:r>
        <w:br w:type="page"/>
      </w:r>
    </w:p>
    <w:p>
      <w:pPr>
        <w:pBdr>
          <w:bottom w:val="single" w:color="D4A017" w:sz="6" w:space="4"/>
        </w:pBdr>
        <w:spacing w:after="100" w:before="280"/>
      </w:pPr>
      <w:r>
        <w:rPr>
          <w:rFonts w:ascii="Arial" w:cs="Arial" w:eastAsia="Arial" w:hAnsi="Arial"/>
          <w:b/>
          <w:bCs/>
          <w:color w:val="1A3A5C"/>
          <w:sz w:val="28"/>
          <w:szCs w:val="28"/>
        </w:rPr>
        <w:t xml:space="preserve">Plan Overview</w:t>
      </w:r>
    </w:p>
    <w:p>
      <w:pPr>
        <w:spacing w:after="60" w:before="60"/>
      </w:pPr>
      <w:r>
        <w:rPr>
          <w:rFonts w:ascii="Arial" w:cs="Arial" w:eastAsia="Arial" w:hAnsi="Arial"/>
          <w:sz w:val="22"/>
          <w:szCs w:val="22"/>
        </w:rPr>
        <w:t xml:space="preserve">This Sales Compensation Plan sets forth the variable compensation structure for Woody Acosta, Sales Support, for the period January 20, 2026 (start date) through December 31, 2026. Variable compensation is prorated from the January 20, 2026 start date (346/365 days). Commission is earned on all qualifying ARR closed globally by MaiaEdge, Inc. during the plan period at the flat base rate established below. This plan includes a non-recoverable monthly draw covering July through December 2026.</w:t>
      </w:r>
    </w:p>
    <w:p>
      <w:pPr>
        <w:pBdr>
          <w:bottom w:val="single" w:color="D4A017" w:sz="6" w:space="4"/>
        </w:pBdr>
        <w:spacing w:after="100" w:before="280"/>
      </w:pPr>
      <w:r>
        <w:rPr>
          <w:rFonts w:ascii="Arial" w:cs="Arial" w:eastAsia="Arial" w:hAnsi="Arial"/>
          <w:b/>
          <w:bCs/>
          <w:color w:val="1A3A5C"/>
          <w:sz w:val="28"/>
          <w:szCs w:val="28"/>
        </w:rPr>
        <w:t xml:space="preserve">Compensation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0"/>
        <w:gridCol w:w="5760"/>
      </w:tblGrid>
      <w:tr>
        <w:trPr>
          <w:tblHeader/>
        </w:trPr>
        <w:tc>
          <w:tcPr>
            <w:tcW w:type="dxa" w:w="36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57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Amount</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(Annual)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$200,000</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Variable Compensation at 100% Attainment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$21,328</w:t>
            </w:r>
          </w:p>
        </w:tc>
      </w:tr>
      <w:tr>
        <w:trPr>
          <w:tblHeader w:val="false"/>
        </w:trPr>
        <w:tc>
          <w:tcPr>
            <w:tcW w:type="dxa" w:w="36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Total On-Target Earnings (OTE)</w:t>
            </w:r>
          </w:p>
        </w:tc>
        <w:tc>
          <w:tcPr>
            <w:tcW w:type="dxa" w:w="57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$228,438</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Pay Mix (Base / Variable)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88% / 12%</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Currency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USD</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Salary Pay Frequency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Semi-monthly</w:t>
            </w:r>
          </w:p>
        </w:tc>
      </w:tr>
      <w:tr>
        <w:trPr>
          <w:tblHeader w:val="false"/>
        </w:trPr>
        <w:tc>
          <w:tcPr>
            <w:tcW w:type="dxa" w:w="360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 Pay Frequency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w:t>
            </w:r>
          </w:p>
        </w:tc>
      </w:tr>
    </w:tbl>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Revenue Quota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Global ARR Quota (Reference)</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$2,450,000</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Quota Type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Combined global ARR target: $2,050,000 North America + $400,000 EMEA. Used as the denominator for the commission rate calculation. Woody Acosta earns commission on all qualifying ARR closed globally by any MaiaEdge representative.</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Metric</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Annual Recurring Revenue (ARR) only</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Professional Services</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Not eligible for commission</w:t>
            </w:r>
          </w:p>
        </w:tc>
      </w:tr>
    </w:tbl>
    <w:p>
      <w:pPr>
        <w:spacing w:after="60" w:before="0"/>
      </w:pPr>
      <w:r>
        <w:t xml:space="preserve"/>
      </w:r>
    </w:p>
    <w:p>
      <w:pPr>
        <w:spacing w:after="60" w:before="60"/>
      </w:pPr>
      <w:r>
        <w:rPr>
          <w:rFonts w:ascii="Arial" w:cs="Arial" w:eastAsia="Arial" w:hAnsi="Arial"/>
          <w:sz w:val="22"/>
          <w:szCs w:val="22"/>
        </w:rPr>
        <w:t xml:space="preserve">Woody Acosta earns commission at the flat base rate below on all qualifying ARR dollars closed globally by MaiaEdge, Inc. during the 2026 plan period. The rate does not decelerate above 100% of the global quota.</w:t>
      </w:r>
    </w:p>
    <w:p>
      <w:pPr>
        <w:spacing w:after="80" w:before="0"/>
      </w:pPr>
      <w:r>
        <w:t xml:space="preserve"/>
      </w:r>
    </w:p>
    <w:p>
      <w:pPr>
        <w:spacing w:after="80" w:before="200"/>
      </w:pPr>
      <w:r>
        <w:rPr>
          <w:rFonts w:ascii="Arial" w:cs="Arial" w:eastAsia="Arial" w:hAnsi="Arial"/>
          <w:b/>
          <w:bCs/>
          <w:color w:val="1A3A5C"/>
          <w:sz w:val="24"/>
          <w:szCs w:val="24"/>
        </w:rPr>
        <w:t xml:space="preserve">Base Commission Rate</w:t>
      </w:r>
    </w:p>
    <w:p>
      <w:pPr>
        <w:spacing w:after="60" w:before="60"/>
      </w:pPr>
      <w:r>
        <w:rPr>
          <w:rFonts w:ascii="Arial" w:cs="Arial" w:eastAsia="Arial" w:hAnsi="Arial"/>
          <w:sz w:val="22"/>
          <w:szCs w:val="22"/>
        </w:rPr>
        <w:t xml:space="preserve">Base Rate = Prorated Variable at 100% / Global Quota = $28,438 / $2,450,000 = 0.87% (Variable prorated 346/365 days from January 20, 2026 start date)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Rate &amp; Attainment Schedule</w:t>
      </w:r>
    </w:p>
    <w:p>
      <w:pPr>
        <w:spacing w:after="60" w:before="60"/>
      </w:pPr>
      <w:r>
        <w:rPr>
          <w:rFonts w:ascii="Arial" w:cs="Arial" w:eastAsia="Arial" w:hAnsi="Arial"/>
          <w:sz w:val="22"/>
          <w:szCs w:val="22"/>
        </w:rPr>
        <w:t xml:space="preserve">Commission is earned on all qualifying ARR closed globally by MaiaEdge, Inc. at the flat base rate shown below. The rate does not decelerate above 100% of the global quota. This flat rate applies to all qualifying ARR bookings during the plan period.</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3000"/>
        <w:gridCol w:w="35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Attainment vs. Annual Quota</w:t>
            </w:r>
          </w:p>
        </w:tc>
        <w:tc>
          <w:tcPr>
            <w:tcW w:type="dxa" w:w="300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Rate Applied</w:t>
            </w:r>
          </w:p>
        </w:tc>
        <w:tc>
          <w:tcPr>
            <w:tcW w:type="dxa" w:w="356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All qualifying ARR</w:t>
            </w:r>
          </w:p>
        </w:tc>
        <w:tc>
          <w:tcPr>
            <w:tcW w:type="dxa" w:w="300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0.87% (flat rate)</w:t>
            </w:r>
          </w:p>
        </w:tc>
        <w:tc>
          <w:tcPr>
            <w:tcW w:type="dxa" w:w="356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Flat rate from the first dollar; no deceleration</w:t>
            </w:r>
          </w:p>
        </w:tc>
      </w:tr>
    </w:tbl>
    <w:p>
      <w:pPr>
        <w:spacing w:after="60" w:before="0"/>
      </w:pPr>
      <w:r>
        <w:t xml:space="preserve"/>
      </w:r>
    </w:p>
    <w:p>
      <w:pPr>
        <w:spacing w:after="60" w:before="60"/>
      </w:pPr>
      <w:r>
        <w:rPr>
          <w:rFonts w:ascii="Arial" w:cs="Arial" w:eastAsia="Arial" w:hAnsi="Arial"/>
          <w:i/>
          <w:iCs/>
          <w:color w:val="555555"/>
          <w:sz w:val="22"/>
          <w:szCs w:val="22"/>
        </w:rPr>
        <w:t xml:space="preserve">There is no minimum attainment threshold and no cap. Commission accrues from the first closed deal at the flat rate above. The company’s mechanism for shaping H2 payout shifts from rate deceleration to the non-recoverable draw described in the next section.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Commission Payment Schedule</w:t>
      </w:r>
    </w:p>
    <w:p>
      <w:pPr>
        <w:spacing w:after="60" w:before="60"/>
      </w:pPr>
      <w:r>
        <w:rPr>
          <w:rFonts w:ascii="Arial" w:cs="Arial" w:eastAsia="Arial" w:hAnsi="Arial"/>
          <w:sz w:val="22"/>
          <w:szCs w:val="22"/>
        </w:rPr>
        <w:t xml:space="preserve">All commissions are calculated on Annual Recurring Revenue (ARR) only. Professional services revenue is excluded. Commissions are calculated and paid on a monthly basis.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Installment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Timing &amp; Trigger</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First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in the monthly commission payment following the month in which the order is accepted and booked in the Company CRM.</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Second — 50% of earned commission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Paid as a recoverable draw in the monthly commission payment following the month in which the Company receives the customer's first contracted payment.</w:t>
            </w:r>
          </w:p>
        </w:tc>
      </w:tr>
    </w:tbl>
    <w:p>
      <w:pPr>
        <w:spacing w:after="60" w:before="0"/>
      </w:pPr>
      <w:r>
        <w:t xml:space="preserve"/>
      </w:r>
    </w:p>
    <w:p>
      <w:pPr>
        <w:spacing w:after="60" w:before="60"/>
      </w:pPr>
      <w:r>
        <w:rPr>
          <w:rFonts w:ascii="Arial" w:cs="Arial" w:eastAsia="Arial" w:hAnsi="Arial"/>
          <w:sz w:val="22"/>
          <w:szCs w:val="22"/>
        </w:rPr>
        <w:t xml:space="preserve">The second installment is paid as a recoverable draw. If the customer fails to pay in full for the first year of the contract, the Company reserves the right to recover the second installment in full from the representative's future commission payments. The representative is expected to remain engaged with the account through the end of the customer's first contract year to support payment collection.</w:t>
      </w:r>
    </w:p>
    <w:p>
      <w:pPr>
        <w:spacing w:after="40" w:before="0"/>
      </w:pPr>
      <w:r>
        <w:t xml:space="preserve"/>
      </w:r>
    </w:p>
    <w:p>
      <w:pPr>
        <w:spacing w:after="60" w:before="60"/>
      </w:pPr>
      <w:r>
        <w:rPr>
          <w:rFonts w:ascii="Arial" w:cs="Arial" w:eastAsia="Arial" w:hAnsi="Arial"/>
          <w:i/>
          <w:iCs/>
          <w:color w:val="555555"/>
          <w:sz w:val="22"/>
          <w:szCs w:val="22"/>
        </w:rPr>
        <w:t xml:space="preserve">Recovery will be made by offsetting against future monthly commission payments. The Company will provide written notice of any recovery and the basis for it.</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H2 2026 Non-Recoverable Draw</w:t>
      </w:r>
    </w:p>
    <w:p>
      <w:pPr>
        <w:spacing w:after="60" w:before="60"/>
      </w:pPr>
      <w:r>
        <w:rPr>
          <w:rFonts w:ascii="Arial" w:cs="Arial" w:eastAsia="Arial" w:hAnsi="Arial"/>
          <w:sz w:val="22"/>
          <w:szCs w:val="22"/>
        </w:rPr>
        <w:t xml:space="preserve">Effective July 1, 2026, in addition to commissions earned under the structure above, Woody Acosta is eligible for a non-recoverable monthly draw covering the second half of 2026. The non-recoverable draw and earned commissions are independent payments: total 2026 variable compensation equals the non-recoverable draw paid plus commissions earned at the flat base rate, with no netting between them.</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rPr>
          <w:tblHeader/>
        </w:trPr>
        <w:tc>
          <w:tcPr>
            <w:tcW w:type="dxa" w:w="312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1A3A5C" w:sz="4"/>
              <w:left w:val="single" w:color="1A3A5C" w:sz="4"/>
              <w:bottom w:val="single" w:color="1A3A5C" w:sz="4"/>
              <w:right w:val="single" w:color="1A3A5C" w:sz="4"/>
            </w:tcBorders>
            <w:shd w:fill="1A3A5C" w:val="clear"/>
            <w:tcMar>
              <w:top w:type="dxa" w:w="80"/>
              <w:left w:type="dxa" w:w="16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Prorated Variable at 100% (346/365 of $30,000)</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$21,328</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Non-Recoverable Draw (H2 Total)</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$7,110</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Monthly Draw Payment</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$5,812.50, paid monthly July through December 2026 (6 installments)</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Commission-Earnable Variable (Prorated Variable minus H2 Non-Recoverable Draw)</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$21,328</w:t>
            </w:r>
          </w:p>
        </w:tc>
      </w:tr>
      <w:tr>
        <w:trPr>
          <w:tblHeader w:val="false"/>
        </w:trPr>
        <w:tc>
          <w:tcPr>
            <w:tcW w:type="dxa" w:w="312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20"/>
            </w:tcMar>
          </w:tcPr>
          <w:p>
            <w:r>
              <w:rPr>
                <w:rFonts w:ascii="Arial" w:cs="Arial" w:eastAsia="Arial" w:hAnsi="Arial"/>
                <w:b w:val="false"/>
                <w:bCs w:val="false"/>
                <w:color w:val="000000"/>
                <w:sz w:val="20"/>
                <w:szCs w:val="20"/>
              </w:rPr>
              <w:t xml:space="preserve">Base Commission Rate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20"/>
            </w:tcMar>
          </w:tcPr>
          <w:p>
            <w:r>
              <w:rPr>
                <w:rFonts w:ascii="Arial" w:cs="Arial" w:eastAsia="Arial" w:hAnsi="Arial"/>
                <w:b w:val="false"/>
                <w:bCs w:val="false"/>
                <w:color w:val="000000"/>
                <w:sz w:val="20"/>
                <w:szCs w:val="20"/>
              </w:rPr>
              <w:t xml:space="preserve">0.87% (Prorated Variable at 100% / Annual Quota = $121,537 / $2,050,000)</w:t>
            </w:r>
          </w:p>
        </w:tc>
      </w:tr>
      <w:tr>
        <w:trPr>
          <w:tblHeader w:val="false"/>
        </w:trPr>
        <w:tc>
          <w:tcPr>
            <w:tcW w:type="dxa" w:w="312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Employment Requirement</w:t>
            </w:r>
          </w:p>
        </w:tc>
        <w:tc>
          <w:tcPr>
            <w:tcW w:type="dxa" w:w="6240"/>
            <w:tcBorders>
              <w:top w:val="single" w:color="CCCCCC" w:sz="4"/>
              <w:left w:val="single" w:color="CCCCCC" w:sz="4"/>
              <w:bottom w:val="single" w:color="CCCCCC" w:sz="4"/>
              <w:right w:val="single" w:color="CCCCCC" w:sz="4"/>
            </w:tcBorders>
            <w:shd w:fill="EEF4FB" w:val="clear"/>
            <w:tcMar>
              <w:top w:type="dxa" w:w="80"/>
              <w:left w:type="dxa" w:w="160"/>
              <w:bottom w:type="dxa" w:w="80"/>
              <w:right w:type="dxa" w:w="120"/>
            </w:tcMar>
          </w:tcPr>
          <w:p>
            <w:r>
              <w:rPr>
                <w:rFonts w:ascii="Arial" w:cs="Arial" w:eastAsia="Arial" w:hAnsi="Arial"/>
                <w:b w:val="false"/>
                <w:bCs w:val="false"/>
                <w:color w:val="000000"/>
                <w:sz w:val="20"/>
                <w:szCs w:val="20"/>
              </w:rPr>
              <w:t xml:space="preserve">Each monthly draw payment is earned only if Woody Acosta is actively employed and in good standing on December 31, 2026. A representative who separates from the Company prior to December 31, 2026 forfeits the non-recoverable draw payments paid during the H2 period, and the Company may recover those payments from final wages to the extent permitted by applicable law.</w:t>
            </w:r>
          </w:p>
        </w:tc>
      </w:tr>
    </w:tbl>
    <w:p>
      <w:pPr>
        <w:spacing w:after="60" w:before="60"/>
      </w:pPr>
      <w:r>
        <w:rPr>
          <w:rFonts w:ascii="Arial" w:cs="Arial" w:eastAsia="Arial" w:hAnsi="Arial"/>
          <w:i/>
          <w:iCs/>
          <w:color w:val="555555"/>
          <w:sz w:val="22"/>
          <w:szCs w:val="22"/>
        </w:rPr>
        <w:t xml:space="preserve">Earned commissions continue to be paid under the 50% / 50% installment schedule described in the Commission Payment Schedule section, including the recoverable draw on the second installment. The non-recoverable draw is paid independently of, and in addition to, earned commissions.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Qualifying Booking Definition</w:t>
      </w:r>
    </w:p>
    <w:p>
      <w:pPr>
        <w:spacing w:after="60" w:before="60"/>
      </w:pPr>
      <w:r>
        <w:rPr>
          <w:rFonts w:ascii="Arial" w:cs="Arial" w:eastAsia="Arial" w:hAnsi="Arial"/>
          <w:sz w:val="22"/>
          <w:szCs w:val="22"/>
        </w:rPr>
        <w:t xml:space="preserve">A booking qualifies for commission credit when all of the following conditions are met:</w:t>
      </w:r>
    </w:p>
    <w:p>
      <w:pPr>
        <w:pStyle w:val="ListParagraph"/>
        <w:numPr>
          <w:ilvl w:val="0"/>
          <w:numId w:val="2"/>
        </w:numPr>
        <w:spacing w:after="40" w:before="40"/>
      </w:pPr>
      <w:r>
        <w:rPr>
          <w:rFonts w:ascii="Arial" w:cs="Arial" w:eastAsia="Arial" w:hAnsi="Arial"/>
          <w:sz w:val="22"/>
          <w:szCs w:val="22"/>
        </w:rPr>
        <w:t xml:space="preserve">A bilateral contract is fully executed by authorized representatives of both MaiaEdge, Inc. and the customer;</w:t>
      </w:r>
    </w:p>
    <w:p>
      <w:pPr>
        <w:pStyle w:val="ListParagraph"/>
        <w:numPr>
          <w:ilvl w:val="0"/>
          <w:numId w:val="2"/>
        </w:numPr>
        <w:spacing w:after="40" w:before="40"/>
      </w:pPr>
      <w:r>
        <w:rPr>
          <w:rFonts w:ascii="Arial" w:cs="Arial" w:eastAsia="Arial" w:hAnsi="Arial"/>
          <w:sz w:val="22"/>
          <w:szCs w:val="22"/>
        </w:rPr>
        <w:t xml:space="preserve">The executed contract is logged in the Company CRM system within 5 business days of execution;</w:t>
      </w:r>
    </w:p>
    <w:p>
      <w:pPr>
        <w:pStyle w:val="ListParagraph"/>
        <w:numPr>
          <w:ilvl w:val="0"/>
          <w:numId w:val="2"/>
        </w:numPr>
        <w:spacing w:after="40" w:before="40"/>
      </w:pPr>
      <w:r>
        <w:rPr>
          <w:rFonts w:ascii="Arial" w:cs="Arial" w:eastAsia="Arial" w:hAnsi="Arial"/>
          <w:sz w:val="22"/>
          <w:szCs w:val="22"/>
        </w:rPr>
        <w:t xml:space="preserve">The contract start date is within 45 days of the execution date. Contracts with start dates beyond 45 days of execution become qualifying bookings 45 days prior to the stated contract start date; and</w:t>
      </w:r>
    </w:p>
    <w:p>
      <w:pPr>
        <w:pStyle w:val="ListParagraph"/>
        <w:numPr>
          <w:ilvl w:val="0"/>
          <w:numId w:val="2"/>
        </w:numPr>
        <w:spacing w:after="40" w:before="40"/>
      </w:pPr>
      <w:r>
        <w:rPr>
          <w:rFonts w:ascii="Arial" w:cs="Arial" w:eastAsia="Arial" w:hAnsi="Arial"/>
          <w:sz w:val="22"/>
          <w:szCs w:val="22"/>
        </w:rPr>
        <w:t xml:space="preserve">The deal was booked by any MaiaEdge representative globally in accordance with Company sales process guidelines. All qualifying bookings generate commission credit to Woody Acosta at the base rate set forth in this plan.</w:t>
      </w:r>
    </w:p>
    <w:p>
      <w:pPr>
        <w:spacing w:after="40" w:before="0"/>
      </w:pPr>
      <w:r>
        <w:t xml:space="preserve"/>
      </w:r>
    </w:p>
    <w:p>
      <w:pPr>
        <w:spacing w:after="60" w:before="60"/>
      </w:pPr>
      <w:r>
        <w:rPr>
          <w:rFonts w:ascii="Arial" w:cs="Arial" w:eastAsia="Arial" w:hAnsi="Arial"/>
          <w:sz w:val="22"/>
          <w:szCs w:val="22"/>
        </w:rPr>
        <w:t xml:space="preserve">Commission is calculated on the ARR value of the qualifying contract, as recognized in accordance with the Company's revenue recognition policy. Deals structured in a way that delays or reduces revenue recognition may be subject to commission adjustment by the CRO.</w:t>
      </w:r>
    </w:p>
    <w:p>
      <w:pPr>
        <w:spacing w:after="40" w:before="0"/>
      </w:pPr>
      <w:r>
        <w:t xml:space="preserve"/>
      </w:r>
    </w:p>
    <w:p>
      <w:pPr>
        <w:spacing w:after="60" w:before="60"/>
      </w:pPr>
      <w:r>
        <w:rPr>
          <w:rFonts w:ascii="Arial" w:cs="Arial" w:eastAsia="Arial" w:hAnsi="Arial"/>
          <w:i/>
          <w:iCs/>
          <w:color w:val="555555"/>
          <w:sz w:val="22"/>
          <w:szCs w:val="22"/>
        </w:rPr>
        <w:t xml:space="preserve">The Company reserves the right to decline to accept any transaction as a qualifying booking in its sole discretion, including without limitation deals that do not comply with Company pricing guidelines, sales process requirements, or contractual standards. The CRO's determination of whether a booking qualifies is final and binding.</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Windfall Policy</w:t>
      </w:r>
    </w:p>
    <w:p>
      <w:pPr>
        <w:spacing w:after="60" w:before="60"/>
      </w:pPr>
      <w:r>
        <w:rPr>
          <w:rFonts w:ascii="Arial" w:cs="Arial" w:eastAsia="Arial" w:hAnsi="Arial"/>
          <w:sz w:val="22"/>
          <w:szCs w:val="22"/>
        </w:rPr>
        <w:t xml:space="preserve">The Company recognizes that market conditions, channel opportunities, or inbound customer initiatives may occasionally produce deals that fall outside the normal course of a representative's sales activity. The following policy applies to such events:</w:t>
      </w:r>
    </w:p>
    <w:p>
      <w:pPr>
        <w:spacing w:after="40" w:before="0"/>
      </w:pPr>
      <w:r>
        <w:t xml:space="preserve"/>
      </w:r>
    </w:p>
    <w:p>
      <w:pPr>
        <w:spacing w:after="60" w:before="60"/>
      </w:pPr>
      <w:r>
        <w:rPr>
          <w:rFonts w:ascii="Arial" w:cs="Arial" w:eastAsia="Arial" w:hAnsi="Arial"/>
          <w:b/>
          <w:bCs/>
          <w:sz w:val="22"/>
          <w:szCs w:val="22"/>
        </w:rPr>
        <w:t xml:space="preserve">Windfall Trigger:  </w:t>
      </w:r>
      <w:r>
        <w:rPr>
          <w:rFonts w:ascii="Arial" w:cs="Arial" w:eastAsia="Arial" w:hAnsi="Arial"/>
          <w:sz w:val="22"/>
          <w:szCs w:val="22"/>
        </w:rPr>
        <w:t xml:space="preserve">A deal may be reviewed under this policy if: (a) the ARR value of a single booking equals or exceeds 50% of the representative's annual quota, or (b) the deal was materially sourced or delivered by the Company outside of the representative's direct efforts.</w:t>
      </w:r>
    </w:p>
    <w:p>
      <w:pPr>
        <w:spacing w:after="40" w:before="0"/>
      </w:pPr>
      <w:r>
        <w:t xml:space="preserve"/>
      </w:r>
    </w:p>
    <w:p>
      <w:pPr>
        <w:spacing w:after="60" w:before="60"/>
      </w:pPr>
      <w:r>
        <w:rPr>
          <w:rFonts w:ascii="Arial" w:cs="Arial" w:eastAsia="Arial" w:hAnsi="Arial"/>
          <w:b/>
          <w:bCs/>
          <w:sz w:val="22"/>
          <w:szCs w:val="22"/>
        </w:rPr>
        <w:t xml:space="preserve">Review Process:  </w:t>
      </w:r>
      <w:r>
        <w:rPr>
          <w:rFonts w:ascii="Arial" w:cs="Arial" w:eastAsia="Arial" w:hAnsi="Arial"/>
          <w:sz w:val="22"/>
          <w:szCs w:val="22"/>
        </w:rPr>
        <w:t xml:space="preserve">The CRO will review qualifying deals within 30 days of booking. The CRO may, in their sole discretion, apply an adjusted commission rate to the windfall portion of the booking. The flat base commission rate continues to apply to all other bookings in the plan year.</w:t>
      </w:r>
    </w:p>
    <w:p>
      <w:pPr>
        <w:spacing w:after="40" w:before="0"/>
      </w:pPr>
      <w:r>
        <w:t xml:space="preserve"/>
      </w:r>
    </w:p>
    <w:p>
      <w:pPr>
        <w:spacing w:after="60" w:before="60"/>
      </w:pPr>
      <w:r>
        <w:rPr>
          <w:rFonts w:ascii="Arial" w:cs="Arial" w:eastAsia="Arial" w:hAnsi="Arial"/>
          <w:b/>
          <w:bCs/>
          <w:sz w:val="22"/>
          <w:szCs w:val="22"/>
        </w:rPr>
        <w:t xml:space="preserve">Representative Notice:  </w:t>
      </w:r>
      <w:r>
        <w:rPr>
          <w:rFonts w:ascii="Arial" w:cs="Arial" w:eastAsia="Arial" w:hAnsi="Arial"/>
          <w:sz w:val="22"/>
          <w:szCs w:val="22"/>
        </w:rPr>
        <w:t xml:space="preserve">If an adjustment is made under this policy, the representative will receive written notice stating the basis for the adjustment and the revised commission amount.</w:t>
      </w:r>
    </w:p>
    <w:p>
      <w:pPr>
        <w:spacing w:after="40" w:before="0"/>
      </w:pPr>
      <w:r>
        <w:t xml:space="preserve"/>
      </w:r>
    </w:p>
    <w:p>
      <w:pPr>
        <w:spacing w:after="60" w:before="60"/>
      </w:pPr>
      <w:r>
        <w:rPr>
          <w:rFonts w:ascii="Arial" w:cs="Arial" w:eastAsia="Arial" w:hAnsi="Arial"/>
          <w:b/>
          <w:bCs/>
          <w:sz w:val="22"/>
          <w:szCs w:val="22"/>
        </w:rPr>
        <w:t xml:space="preserve">Good Faith Deals:  </w:t>
      </w:r>
      <w:r>
        <w:rPr>
          <w:rFonts w:ascii="Arial" w:cs="Arial" w:eastAsia="Arial" w:hAnsi="Arial"/>
          <w:sz w:val="22"/>
          <w:szCs w:val="22"/>
        </w:rPr>
        <w:t xml:space="preserve">This policy does not apply to deals actively sourced, pursued, and closed through the representative's own efforts, regardless of deal size.</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Pricing Authority &amp; Discount Policy</w:t>
      </w:r>
    </w:p>
    <w:p>
      <w:pPr>
        <w:spacing w:after="60" w:before="60"/>
      </w:pPr>
      <w:r>
        <w:rPr>
          <w:rFonts w:ascii="Arial" w:cs="Arial" w:eastAsia="Arial" w:hAnsi="Arial"/>
          <w:sz w:val="22"/>
          <w:szCs w:val="22"/>
        </w:rPr>
        <w:t xml:space="preserve">Representatives are expected to price deals consistent with CRO-approved pricing guidance. The following policy applies when a deal requires a discount beyond what the CRO has approved in writing:</w:t>
      </w:r>
    </w:p>
    <w:p>
      <w:pPr>
        <w:spacing w:after="40" w:before="0"/>
      </w:pPr>
      <w:r>
        <w:t xml:space="preserve"/>
      </w:r>
    </w:p>
    <w:p>
      <w:pPr>
        <w:spacing w:after="60" w:before="60"/>
      </w:pPr>
      <w:r>
        <w:rPr>
          <w:rFonts w:ascii="Arial" w:cs="Arial" w:eastAsia="Arial" w:hAnsi="Arial"/>
          <w:b/>
          <w:bCs/>
          <w:sz w:val="22"/>
          <w:szCs w:val="22"/>
        </w:rPr>
        <w:t xml:space="preserve">Pre-Approval Required:  </w:t>
      </w:r>
      <w:r>
        <w:rPr>
          <w:rFonts w:ascii="Arial" w:cs="Arial" w:eastAsia="Arial" w:hAnsi="Arial"/>
          <w:sz w:val="22"/>
          <w:szCs w:val="22"/>
        </w:rPr>
        <w:t xml:space="preserve">Deals requiring discounts beyond levels approved in writing by the CRO require CRO approval before contract execution. If approval is not obtained prior to execution, the Company reserves the right to not accept the deal as a qualifying booking, or to adjust the commission on that deal accordingly.</w:t>
      </w:r>
    </w:p>
    <w:p>
      <w:pPr>
        <w:spacing w:after="40" w:before="0"/>
      </w:pPr>
      <w:r>
        <w:t xml:space="preserve"/>
      </w:r>
    </w:p>
    <w:p>
      <w:pPr>
        <w:spacing w:after="60" w:before="60"/>
      </w:pPr>
      <w:r>
        <w:rPr>
          <w:rFonts w:ascii="Arial" w:cs="Arial" w:eastAsia="Arial" w:hAnsi="Arial"/>
          <w:b/>
          <w:bCs/>
          <w:sz w:val="22"/>
          <w:szCs w:val="22"/>
        </w:rPr>
        <w:t xml:space="preserve">Post-Execution Review:  </w:t>
      </w:r>
      <w:r>
        <w:rPr>
          <w:rFonts w:ascii="Arial" w:cs="Arial" w:eastAsia="Arial" w:hAnsi="Arial"/>
          <w:sz w:val="22"/>
          <w:szCs w:val="22"/>
        </w:rPr>
        <w:t xml:space="preserve">If it is determined after commission payment that a deal was executed at an unauthorized discount level without prior CRO approval, the excess commission may be subject to recovery against future commission payments.</w:t>
      </w:r>
    </w:p>
    <w:p>
      <w:pPr>
        <w:spacing w:after="40" w:before="0"/>
      </w:pPr>
      <w:r>
        <w:t xml:space="preserve"/>
      </w:r>
    </w:p>
    <w:p>
      <w:pPr>
        <w:spacing w:after="60" w:before="60"/>
      </w:pPr>
      <w:r>
        <w:rPr>
          <w:rFonts w:ascii="Arial" w:cs="Arial" w:eastAsia="Arial" w:hAnsi="Arial"/>
          <w:i/>
          <w:iCs/>
          <w:color w:val="555555"/>
          <w:sz w:val="22"/>
          <w:szCs w:val="22"/>
        </w:rPr>
        <w:t xml:space="preserve">This policy does not apply to discounts that were approved by the CRO in writing prior to execution.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Termination &amp; Final Commission Payment</w:t>
      </w:r>
    </w:p>
    <w:p>
      <w:pPr>
        <w:spacing w:after="60" w:before="60"/>
      </w:pPr>
      <w:r>
        <w:rPr>
          <w:rFonts w:ascii="Arial" w:cs="Arial" w:eastAsia="Arial" w:hAnsi="Arial"/>
          <w:sz w:val="22"/>
          <w:szCs w:val="22"/>
        </w:rPr>
        <w:t xml:space="preserve">Upon termination of employment for any reason, earned and calculable commissions will be handled as follows:</w:t>
      </w:r>
    </w:p>
    <w:p>
      <w:pPr>
        <w:spacing w:after="40" w:before="0"/>
      </w:pPr>
      <w:r>
        <w:t xml:space="preserve"/>
      </w:r>
    </w:p>
    <w:p>
      <w:pPr>
        <w:spacing w:after="60" w:before="60"/>
      </w:pPr>
      <w:r>
        <w:rPr>
          <w:rFonts w:ascii="Arial" w:cs="Arial" w:eastAsia="Arial" w:hAnsi="Arial"/>
          <w:b/>
          <w:bCs/>
          <w:sz w:val="22"/>
          <w:szCs w:val="22"/>
        </w:rPr>
        <w:t xml:space="preserve">Voluntary Resignation:  </w:t>
      </w:r>
      <w:r>
        <w:rPr>
          <w:rFonts w:ascii="Arial" w:cs="Arial" w:eastAsia="Arial" w:hAnsi="Arial"/>
          <w:sz w:val="22"/>
          <w:szCs w:val="22"/>
        </w:rPr>
        <w:t xml:space="preserve">Commission is earned through the last date of active employment only. Pipeline opportunities not yet converted to fully executed contracts as of the termination date are not eligible for commission.</w:t>
      </w:r>
    </w:p>
    <w:p>
      <w:pPr>
        <w:spacing w:after="40" w:before="0"/>
      </w:pPr>
      <w:r>
        <w:t xml:space="preserve"/>
      </w:r>
    </w:p>
    <w:p>
      <w:pPr>
        <w:spacing w:after="60" w:before="60"/>
      </w:pPr>
      <w:r>
        <w:rPr>
          <w:rFonts w:ascii="Arial" w:cs="Arial" w:eastAsia="Arial" w:hAnsi="Arial"/>
          <w:b/>
          <w:bCs/>
          <w:sz w:val="22"/>
          <w:szCs w:val="22"/>
        </w:rPr>
        <w:t xml:space="preserve">Involuntary Termination Without Cause / RIF:  </w:t>
      </w:r>
      <w:r>
        <w:rPr>
          <w:rFonts w:ascii="Arial" w:cs="Arial" w:eastAsia="Arial" w:hAnsi="Arial"/>
          <w:sz w:val="22"/>
          <w:szCs w:val="22"/>
        </w:rPr>
        <w:t xml:space="preserve">Commissions earned and calculable through the termination date will be paid on the next regular monthly commission payment date. At the Company's sole discretion, commission eligibility may be extended up to 30 days post-termination for deals where a fully executed Order Form was in legal review as of the termination date.</w:t>
      </w:r>
    </w:p>
    <w:p>
      <w:pPr>
        <w:spacing w:after="40" w:before="0"/>
      </w:pPr>
      <w:r>
        <w:t xml:space="preserve"/>
      </w:r>
    </w:p>
    <w:p>
      <w:pPr>
        <w:spacing w:after="60" w:before="60"/>
      </w:pPr>
      <w:r>
        <w:rPr>
          <w:rFonts w:ascii="Arial" w:cs="Arial" w:eastAsia="Arial" w:hAnsi="Arial"/>
          <w:b/>
          <w:bCs/>
          <w:sz w:val="22"/>
          <w:szCs w:val="22"/>
        </w:rPr>
        <w:t xml:space="preserve">Termination for Cause:  </w:t>
      </w:r>
      <w:r>
        <w:rPr>
          <w:rFonts w:ascii="Arial" w:cs="Arial" w:eastAsia="Arial" w:hAnsi="Arial"/>
          <w:sz w:val="22"/>
          <w:szCs w:val="22"/>
        </w:rPr>
        <w:t xml:space="preserve">Commissions earned and calculable through the termination date will be paid in accordance with applicable law.</w:t>
      </w:r>
    </w:p>
    <w:p>
      <w:pPr>
        <w:spacing w:after="40" w:before="0"/>
      </w:pPr>
      <w:r>
        <w:t xml:space="preserve"/>
      </w:r>
    </w:p>
    <w:p>
      <w:pPr>
        <w:spacing w:after="60" w:before="60"/>
      </w:pPr>
      <w:r>
        <w:rPr>
          <w:rFonts w:ascii="Arial" w:cs="Arial" w:eastAsia="Arial" w:hAnsi="Arial"/>
          <w:b/>
          <w:bCs/>
          <w:sz w:val="22"/>
          <w:szCs w:val="22"/>
        </w:rPr>
        <w:t xml:space="preserve">Recoverable Draw at Termination:  </w:t>
      </w:r>
      <w:r>
        <w:rPr>
          <w:rFonts w:ascii="Arial" w:cs="Arial" w:eastAsia="Arial" w:hAnsi="Arial"/>
          <w:sz w:val="22"/>
          <w:szCs w:val="22"/>
        </w:rPr>
        <w:t xml:space="preserve">At the Company's option, any outstanding recoverable draw balance at the time of termination may be recovered, including by offset against final wages or future amounts owed, to the extent permitted by applicable law. The Company reserves the right to offset any outstanding recoverable draw balance from final wages to the extent permitted by applicable law.</w:t>
      </w:r>
    </w:p>
    <w:p>
      <w:pPr>
        <w:spacing w:after="40" w:before="0"/>
      </w:pPr>
      <w:r>
        <w:t xml:space="preserve"/>
      </w:r>
    </w:p>
    <w:p>
      <w:pPr>
        <w:spacing w:after="60" w:before="60"/>
      </w:pPr>
      <w:r>
        <w:rPr>
          <w:rFonts w:ascii="Arial" w:cs="Arial" w:eastAsia="Arial" w:hAnsi="Arial"/>
          <w:i/>
          <w:iCs/>
          <w:color w:val="555555"/>
          <w:sz w:val="22"/>
          <w:szCs w:val="22"/>
        </w:rPr>
        <w:t xml:space="preserve">For the avoidance of doubt, no commissions accrue on deals closed after the representative's termination date, regardless of the representative's prior involvement in those deals.</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Plan Terms &amp; Legal Provisions</w:t>
      </w:r>
    </w:p>
    <w:p>
      <w:pPr>
        <w:spacing w:after="80" w:before="200"/>
      </w:pPr>
      <w:r>
        <w:rPr>
          <w:rFonts w:ascii="Arial" w:cs="Arial" w:eastAsia="Arial" w:hAnsi="Arial"/>
          <w:b/>
          <w:bCs/>
          <w:color w:val="1A3A5C"/>
          <w:sz w:val="24"/>
          <w:szCs w:val="24"/>
        </w:rPr>
        <w:t xml:space="preserve">Plan Administration &amp; Modification</w:t>
      </w:r>
    </w:p>
    <w:p>
      <w:pPr>
        <w:spacing w:after="60" w:before="60"/>
      </w:pPr>
      <w:r>
        <w:rPr>
          <w:rFonts w:ascii="Arial" w:cs="Arial" w:eastAsia="Arial" w:hAnsi="Arial"/>
          <w:sz w:val="22"/>
          <w:szCs w:val="22"/>
        </w:rPr>
        <w:t xml:space="preserve">The Company reserves the right to modify, amend, or terminate this plan at any time in its sole discretion, with written notice to the representative. Plan changes shall not apply retroactively to commissions already earned and calculable as of the date of written notice. 'Earned and calculable' means the underlying booking is fully executed, logged in the Company CRM, and the commission amount is determinable under this plan.</w:t>
      </w:r>
    </w:p>
    <w:p>
      <w:pPr>
        <w:spacing w:after="40" w:before="0"/>
      </w:pPr>
      <w:r>
        <w:t xml:space="preserve"/>
      </w:r>
    </w:p>
    <w:p>
      <w:pPr>
        <w:spacing w:after="80" w:before="200"/>
      </w:pPr>
      <w:r>
        <w:rPr>
          <w:rFonts w:ascii="Arial" w:cs="Arial" w:eastAsia="Arial" w:hAnsi="Arial"/>
          <w:b/>
          <w:bCs/>
          <w:color w:val="1A3A5C"/>
          <w:sz w:val="24"/>
          <w:szCs w:val="24"/>
        </w:rPr>
        <w:t xml:space="preserve">Plan Is Not a Contract of Employment</w:t>
      </w:r>
    </w:p>
    <w:p>
      <w:pPr>
        <w:spacing w:after="60" w:before="60"/>
      </w:pPr>
      <w:r>
        <w:rPr>
          <w:rFonts w:ascii="Arial" w:cs="Arial" w:eastAsia="Arial" w:hAnsi="Arial"/>
          <w:sz w:val="22"/>
          <w:szCs w:val="22"/>
        </w:rPr>
        <w:t xml:space="preserve">This plan does not constitute a contract of employment. Nothing in this plan alters the nature of the employment relationship or the Company's right to terminate the employment relationship at any time, with or without cause, consistent with applicable law. Participation in this plan does not guarantee continued employment or continued eligibility to receive incentive compensation.</w:t>
      </w:r>
    </w:p>
    <w:p>
      <w:pPr>
        <w:spacing w:after="40" w:before="0"/>
      </w:pPr>
      <w:r>
        <w:t xml:space="preserve"/>
      </w:r>
    </w:p>
    <w:p>
      <w:pPr>
        <w:spacing w:after="80" w:before="200"/>
      </w:pPr>
      <w:r>
        <w:rPr>
          <w:rFonts w:ascii="Arial" w:cs="Arial" w:eastAsia="Arial" w:hAnsi="Arial"/>
          <w:b/>
          <w:bCs/>
          <w:color w:val="1A3A5C"/>
          <w:sz w:val="24"/>
          <w:szCs w:val="24"/>
        </w:rPr>
        <w:t xml:space="preserve">Dispute Resolution</w:t>
      </w:r>
    </w:p>
    <w:p>
      <w:pPr>
        <w:spacing w:after="60" w:before="60"/>
      </w:pPr>
      <w:r>
        <w:rPr>
          <w:rFonts w:ascii="Arial" w:cs="Arial" w:eastAsia="Arial" w:hAnsi="Arial"/>
          <w:sz w:val="22"/>
          <w:szCs w:val="22"/>
        </w:rPr>
        <w:t xml:space="preserve">All disputes regarding commission calculations, quota credit, booking eligibility, or plan interpretation will be resolved by the CRO in their sole and absolute discretion. Decisions are final and binding. All disputes or adjustment requests must be submitted in writing within 60 days of the date of written commission notice for the relevant payment period. Requests submitted after 60 days will not be considered.</w:t>
      </w:r>
    </w:p>
    <w:p>
      <w:pPr>
        <w:spacing w:after="40" w:before="0"/>
      </w:pPr>
      <w:r>
        <w:t xml:space="preserve"/>
      </w:r>
    </w:p>
    <w:p>
      <w:pPr>
        <w:spacing w:after="80" w:before="200"/>
      </w:pPr>
      <w:r>
        <w:rPr>
          <w:rFonts w:ascii="Arial" w:cs="Arial" w:eastAsia="Arial" w:hAnsi="Arial"/>
          <w:b/>
          <w:bCs/>
          <w:color w:val="1A3A5C"/>
          <w:sz w:val="24"/>
          <w:szCs w:val="24"/>
        </w:rPr>
        <w:t xml:space="preserve">Misrepresentation &amp; Fraud Clawback</w:t>
      </w:r>
    </w:p>
    <w:p>
      <w:pPr>
        <w:spacing w:after="60" w:before="60"/>
      </w:pPr>
      <w:r>
        <w:rPr>
          <w:rFonts w:ascii="Arial" w:cs="Arial" w:eastAsia="Arial" w:hAnsi="Arial"/>
          <w:sz w:val="22"/>
          <w:szCs w:val="22"/>
        </w:rPr>
        <w:t xml:space="preserve">Commissions earned on bookings obtained through misrepresentation, fraud, violation of Company policy, or any conduct inconsistent with the Company's Code of Business Conduct are subject to full recovery by the Company, without limitation as to the time the commission was paid. Recovery of commissions under this provision does not preclude the Company from pursuing any other available legal or equitable remedies.</w:t>
      </w:r>
    </w:p>
    <w:p>
      <w:pPr>
        <w:spacing w:after="40" w:before="0"/>
      </w:pPr>
      <w:r>
        <w:t xml:space="preserve"/>
      </w:r>
    </w:p>
    <w:p>
      <w:pPr>
        <w:spacing w:after="80" w:before="200"/>
      </w:pPr>
      <w:r>
        <w:rPr>
          <w:rFonts w:ascii="Arial" w:cs="Arial" w:eastAsia="Arial" w:hAnsi="Arial"/>
          <w:b/>
          <w:bCs/>
          <w:color w:val="1A3A5C"/>
          <w:sz w:val="24"/>
          <w:szCs w:val="24"/>
        </w:rPr>
        <w:t xml:space="preserve">Eligibility</w:t>
      </w:r>
    </w:p>
    <w:p>
      <w:pPr>
        <w:spacing w:after="60" w:before="60"/>
      </w:pPr>
      <w:r>
        <w:rPr>
          <w:rFonts w:ascii="Arial" w:cs="Arial" w:eastAsia="Arial" w:hAnsi="Arial"/>
          <w:sz w:val="22"/>
          <w:szCs w:val="22"/>
        </w:rPr>
        <w:t xml:space="preserve">The representative must be actively employed and in good standing on the date commission payments are processed.</w:t>
      </w:r>
    </w:p>
    <w:p>
      <w:pPr>
        <w:spacing w:after="40" w:before="0"/>
      </w:pPr>
      <w:r>
        <w:t xml:space="preserve"/>
      </w:r>
    </w:p>
    <w:p>
      <w:pPr>
        <w:spacing w:after="80" w:before="200"/>
      </w:pPr>
      <w:r>
        <w:rPr>
          <w:rFonts w:ascii="Arial" w:cs="Arial" w:eastAsia="Arial" w:hAnsi="Arial"/>
          <w:b/>
          <w:bCs/>
          <w:color w:val="1A3A5C"/>
          <w:sz w:val="24"/>
          <w:szCs w:val="24"/>
        </w:rPr>
        <w:t xml:space="preserve">Governing Law</w:t>
      </w:r>
    </w:p>
    <w:p>
      <w:pPr>
        <w:spacing w:after="60" w:before="60"/>
      </w:pPr>
      <w:r>
        <w:rPr>
          <w:rFonts w:ascii="Arial" w:cs="Arial" w:eastAsia="Arial" w:hAnsi="Arial"/>
          <w:sz w:val="22"/>
          <w:szCs w:val="22"/>
        </w:rPr>
        <w:t xml:space="preserve">This plan is governed by the laws of the Commonwealth of Massachusetts. Any legal action arising out of or related to this plan shall be brought exclusively in the courts of competent jurisdiction in that state.</w:t>
      </w:r>
    </w:p>
    <w:p>
      <w:pPr>
        <w:spacing w:after="40" w:before="0"/>
      </w:pPr>
      <w:r>
        <w:t xml:space="preserve"/>
      </w:r>
    </w:p>
    <w:p>
      <w:pPr>
        <w:spacing w:after="80" w:before="200"/>
      </w:pPr>
      <w:r>
        <w:rPr>
          <w:rFonts w:ascii="Arial" w:cs="Arial" w:eastAsia="Arial" w:hAnsi="Arial"/>
          <w:b/>
          <w:bCs/>
          <w:color w:val="1A3A5C"/>
          <w:sz w:val="24"/>
          <w:szCs w:val="24"/>
        </w:rPr>
        <w:t xml:space="preserve">Entire Agreement</w:t>
      </w:r>
    </w:p>
    <w:p>
      <w:pPr>
        <w:spacing w:after="60" w:before="60"/>
      </w:pPr>
      <w:r>
        <w:rPr>
          <w:rFonts w:ascii="Arial" w:cs="Arial" w:eastAsia="Arial" w:hAnsi="Arial"/>
          <w:sz w:val="22"/>
          <w:szCs w:val="22"/>
        </w:rPr>
        <w:t xml:space="preserve">This plan constitutes the entire agreement between the parties with respect to sales incentive compensation for the plan period stated herein, and supersedes all prior oral or written representations, understandings, negotiations, or agreements on the subject. No modification to this plan is valid unless made in writing and signed by both parties.</w:t>
      </w:r>
    </w:p>
    <w:p>
      <w:pPr>
        <w:spacing w:after="40" w:before="0"/>
      </w:pPr>
      <w:r>
        <w:t xml:space="preserve"/>
      </w:r>
    </w:p>
    <w:p>
      <w:pPr>
        <w:spacing w:after="80" w:before="200"/>
      </w:pPr>
      <w:r>
        <w:rPr>
          <w:rFonts w:ascii="Arial" w:cs="Arial" w:eastAsia="Arial" w:hAnsi="Arial"/>
          <w:b/>
          <w:bCs/>
          <w:color w:val="1A3A5C"/>
          <w:sz w:val="24"/>
          <w:szCs w:val="24"/>
        </w:rPr>
        <w:t xml:space="preserve">Confidentiality of Plan Terms</w:t>
      </w:r>
    </w:p>
    <w:p>
      <w:pPr>
        <w:spacing w:after="60" w:before="60"/>
      </w:pPr>
      <w:r>
        <w:rPr>
          <w:rFonts w:ascii="Arial" w:cs="Arial" w:eastAsia="Arial" w:hAnsi="Arial"/>
          <w:sz w:val="22"/>
          <w:szCs w:val="22"/>
        </w:rPr>
        <w:t xml:space="preserve">The terms of this plan, including commission rates, quota amounts, payment mechanics, and any related CRO decisions, are confidential. The representative agrees not to disclose plan details to any third party, including other employees, without prior written authorization from the CRO. Violation of this provision may result in disciplinary action.</w:t>
      </w:r>
    </w:p>
    <w:p>
      <w:pPr>
        <w:spacing w:after="8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Acknowledgment &amp; Signature</w:t>
      </w:r>
    </w:p>
    <w:p>
      <w:pPr>
        <w:spacing w:after="60" w:before="60"/>
      </w:pPr>
      <w:r>
        <w:rPr>
          <w:rFonts w:ascii="Arial" w:cs="Arial" w:eastAsia="Arial" w:hAnsi="Arial"/>
          <w:sz w:val="22"/>
          <w:szCs w:val="22"/>
        </w:rPr>
        <w:t xml:space="preserve">By signing below, both parties agree to the terms of this Sales Compensation Plan for Fiscal Year 2026.</w:t>
      </w:r>
    </w:p>
    <w:p>
      <w:pPr>
        <w:spacing w:after="120" w:before="0"/>
      </w:pPr>
      <w:r>
        <w:t xml:space="preserve"/>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Employee Signature: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Employee Name (Print):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p>
      <w:pPr>
        <w:spacing w:after="160" w:before="0"/>
      </w:pPr>
      <w:r>
        <w:t xml:space="preserve"/>
      </w:r>
    </w:p>
    <w:p>
      <w:pPr>
        <w:spacing w:after="60" w:before="60"/>
      </w:pPr>
      <w:r>
        <w:rPr>
          <w:rFonts w:ascii="Arial" w:cs="Arial" w:eastAsia="Arial" w:hAnsi="Arial"/>
          <w:b/>
          <w:bCs/>
          <w:sz w:val="22"/>
          <w:szCs w:val="22"/>
        </w:rPr>
        <w:t xml:space="preserve">Timothy Ziemer, CRO &amp; Co-Founder  —  Company Representative</w:t>
      </w:r>
    </w:p>
    <w:tbl>
      <w:tblPr>
        <w:tblW w:type="dxa" w:w="9720"/>
        <w:tblBorders>
          <w:top w:val="none" w:color="FFFFFF" w:sz="0"/>
          <w:left w:val="none" w:color="FFFFFF" w:sz="0"/>
          <w:bottom w:val="none" w:color="FFFFFF" w:sz="0"/>
          <w:right w:val="none" w:color="FFFFFF" w:sz="0"/>
          <w:insideH w:val="single" w:color="auto" w:sz="4"/>
          <w:insideV w:val="single" w:color="auto" w:sz="4"/>
        </w:tblBorders>
      </w:tblPr>
      <w:tblGrid>
        <w:gridCol w:w="6800"/>
        <w:gridCol w:w="2920"/>
      </w:tblGrid>
      <w:tr>
        <w:tc>
          <w:tcPr>
            <w:tcW w:type="dxa" w:w="6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before="200"/>
            </w:pPr>
            <w:r>
              <w:rPr>
                <w:rFonts w:ascii="Arial" w:cs="Arial" w:eastAsia="Arial" w:hAnsi="Arial"/>
                <w:sz w:val="22"/>
                <w:szCs w:val="22"/>
              </w:rPr>
              <w:t>Signature:  ________________________________________</w:t>
            </w:r>
          </w:p>
        </w:tc>
        <w:tc>
          <w:tcPr>
            <w:tcW w:type="dxa" w:w="2920"/>
            <w:tcBorders>
              <w:top w:val="none" w:color="FFFFFF" w:sz="0"/>
              <w:left w:val="none" w:color="FFFFFF" w:sz="0"/>
              <w:bottom w:val="none" w:color="FFFFFF" w:sz="0"/>
              <w:right w:val="none" w:color="FFFFFF" w:sz="0"/>
            </w:tcBorders>
            <w:tcMar>
              <w:top w:type="dxa" w:w="0"/>
              <w:left w:type="dxa" w:w="320"/>
              <w:bottom w:type="dxa" w:w="0"/>
              <w:right w:type="dxa" w:w="0"/>
            </w:tcMar>
          </w:tcPr>
          <w:p>
            <w:pPr>
              <w:spacing w:after="80" w:before="200"/>
            </w:pPr>
            <w:r>
              <w:rPr>
                <w:rFonts w:ascii="Arial" w:cs="Arial" w:eastAsia="Arial" w:hAnsi="Arial"/>
                <w:sz w:val="22"/>
                <w:szCs w:val="22"/>
              </w:rPr>
              <w:t xml:space="preserve">Date:  ________________</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AAAAAA"/>
        <w:sz w:val="16"/>
        <w:szCs w:val="16"/>
      </w:rPr>
      <w:t xml:space="preserve">MaiaEdge, Inc.  |  Sales Compensation Plan FY2026  |  </w:t>
    </w:r>
    <w:r>
      <w:rPr>
        <w:rFonts w:ascii="Arial" w:cs="Arial" w:eastAsia="Arial" w:hAnsi="Arial"/>
        <w:i/>
        <w:iCs/>
        <w:color w:val="AAAAA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c777ca5a5e3dae16289bc780bf046a3093c2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2026-05-27T19:00:37.117Z</dcterms:created>
  <dcterms:modified xsi:type="dcterms:W3CDTF">2026-05-27T19:00:37.117Z</dcterms:modified>
</cp:coreProperties>
</file>

<file path=docProps/custom.xml><?xml version="1.0" encoding="utf-8"?>
<Properties xmlns="http://schemas.openxmlformats.org/officeDocument/2006/custom-properties" xmlns:vt="http://schemas.openxmlformats.org/officeDocument/2006/docPropsVTypes"/>
</file>