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Comp Plan 2026 — Finance Review: Tim's Positions</w:t>
      </w:r>
    </w:p>
    <w:p>
      <w:pPr>
        <w:pBdr>
          <w:bottom w:val="single" w:color="1F3864" w:sz="6"/>
        </w:pBdr>
        <w:spacing w:after="24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Prepared for meeting with Julie Ruhland  |  June 10, 2026  |  Patrick Melampy cc'd</w:t>
      </w:r>
    </w:p>
    <w:p>
      <w:pPr>
        <w:pBdr>
          <w:left w:val="single" w:color="1F3864" w:sz="12"/>
        </w:pBdr>
        <w:shd w:fill="D9E2F3" w:val="clear"/>
        <w:spacing w:after="220" w:before="200"/>
        <w:ind w:left="200" w:right="200"/>
      </w:pPr>
      <w:r>
        <w:rPr>
          <w:rFonts w:ascii="Arial" w:cs="Arial" w:eastAsia="Arial" w:hAnsi="Arial"/>
          <w:i/>
          <w:iCs/>
          <w:color w:val="2F4F7F"/>
          <w:sz w:val="19"/>
          <w:szCs w:val="19"/>
        </w:rPr>
        <w:t xml:space="preserve">Root cause of several open questions: the v3 amendment shifted Tim Lieto and Ken from a shared $1.7M group quota to individual $2,050K quotas, which changed their rates and structural mechanics. Covering that context first will collapse most of the "why" questions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0"/>
        <w:gridCol w:w="5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Julie's Topic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Next Step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AGREED — CLOSED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Clawback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Add 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clawback language to all plans. Discuss in meeting: 100% recovery if customer churns within 7 months of contract start. Decide: full lump-sum recovery or prorated by month within the window.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 Timing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Agree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paid the month after booking; 50% paid the month after first customer payment. Example: June booking -&gt; July 31 payroll for first half. Draws pay monthly throughout H2 (e.g., July 31, Aug 31, etc.).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Tory Prorated Variable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Confirmed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Commission-earnable variable ($35,066) is correctly prorated from Tory's July 2 start on H2 quota of $2,050K at 1.71%. Structure is correct as drafted in v3.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19"/>
                <w:szCs w:val="19"/>
              </w:rPr>
              <w:t xml:space="preserve">TO DISCUSS — June 10 Meeting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Individual vs. Shared Quota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moved Tim Lieto and Ken to individual $2,050K quotas (was shared $1.7M group). This is the framing context for the rate changes, overlay math, and several other questions below.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Overlay — Tim Lieto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 Lieto earns 4.44% (flat, uncapped) on all ARR closed by Tory. At Tory's full $2,050K this is ~$91K additive — not in Tim's stated OTE. Confirm: is this intentional upside or should OTE be restated to reflect it?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Ken's Reporting / Overlay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Julie asks why Ken does not have a manager overlay structure like Tim Lieto's over Tory. Confirm reporting relationships and whether any overlay for Ken was intended.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Markus — Team Build-Out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overlay structure defined if Markus hires an AE in Germany. Must be addressed proactively: German employment law requires bilateral agreement to modify comp — cannot be done unilaterally once he is on contract.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 vs. Ramp Schedule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questions: (1) Is the H2 non-recoverable draw a one-time 2026 structure or the standard for future new hires? (2) Should we use a declining ramp guarantee (months-in-seat, winds to zero over 5-6 months) instead of a flat draw?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 / Tory Rate Gap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Discuss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Tory: 1.71% on $2,050K H2 quota. Ken: 4.23% on $2,050K. Same quota, different rates. Tory's lower rate reflects his draw-for-ramp structure as a new hire starting July 2. Confirm this framing and that the math is intentional.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Multi-Year / Upfront Incentives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2027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idea. Defer to 2027 plan design. Not in scope for H2 2026.</w:t>
            </w:r>
          </w:p>
        </w:tc>
      </w:tr>
    </w:tbl>
    <w:p>
      <w:pPr>
        <w:spacing w:after="0" w:before="26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Plans on file: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comp-plan-tim-lieto-2026-v3.docx  |  comp-plan-ken-cunningham-2026-v3.docx  |  comp-plan-tory-teague-2026-v3.docx  |  comp-plan-markus-hendrik-2026-v2.docx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2026-06-09T21:29:41.931Z</dcterms:created>
  <dcterms:modified xsi:type="dcterms:W3CDTF">2026-06-09T21:29:41.931Z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