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960"/>
        <w:jc w:val="center"/>
      </w:pPr>
      <w:r>
        <w:drawing>
          <wp:inline xmlns:a="http://schemas.openxmlformats.org/drawingml/2006/main" xmlns:pic="http://schemas.openxmlformats.org/drawingml/2006/picture">
            <wp:extent cx="2926080" cy="836023"/>
            <wp:docPr id="1" name="Picture 1"/>
            <wp:cNvGraphicFramePr>
              <a:graphicFrameLocks noChangeAspect="1"/>
            </wp:cNvGraphicFramePr>
            <a:graphic>
              <a:graphicData uri="http://schemas.openxmlformats.org/drawingml/2006/picture">
                <pic:pic>
                  <pic:nvPicPr>
                    <pic:cNvPr id="0" name="maiaedge_logo.png"/>
                    <pic:cNvPicPr/>
                  </pic:nvPicPr>
                  <pic:blipFill>
                    <a:blip r:embed="rId9"/>
                    <a:stretch>
                      <a:fillRect/>
                    </a:stretch>
                  </pic:blipFill>
                  <pic:spPr>
                    <a:xfrm>
                      <a:off x="0" y="0"/>
                      <a:ext cx="2926080" cy="836023"/>
                    </a:xfrm>
                    <a:prstGeom prst="rect"/>
                  </pic:spPr>
                </pic:pic>
              </a:graphicData>
            </a:graphic>
          </wp:inline>
        </w:drawing>
      </w:r>
    </w:p>
    <w:p>
      <w:pPr>
        <w:spacing w:after="0"/>
        <w:jc w:val="center"/>
      </w:pPr>
      <w:r>
        <w:rPr>
          <w:rFonts w:ascii="Arial" w:hAnsi="Arial"/>
          <w:b/>
          <w:i w:val="0"/>
          <w:color w:val="F5A623"/>
          <w:sz w:val="20"/>
          <w:caps w:val="true"/>
          <w:spacing w:val="80"/>
        </w:rPr>
        <w:t>ECONOMICS BRIEF</w:t>
      </w:r>
    </w:p>
    <w:p>
      <w:pPr>
        <w:spacing w:after="720"/>
        <w:jc w:val="center"/>
      </w:pPr>
      <w:r>
        <w:rPr>
          <w:rFonts w:ascii="Arial" w:hAnsi="Arial"/>
          <w:b w:val="0"/>
          <w:i w:val="0"/>
          <w:color w:val="555555"/>
          <w:sz w:val="16"/>
          <w:caps w:val="true"/>
          <w:spacing w:val="60"/>
        </w:rPr>
        <w:t>CONFIDENTIAL  ·  WORKING DRAFT</w:t>
      </w:r>
    </w:p>
    <w:p>
      <w:pPr>
        <w:spacing w:after="160"/>
        <w:jc w:val="center"/>
      </w:pPr>
      <w:r>
        <w:rPr>
          <w:rFonts w:ascii="Arial" w:hAnsi="Arial"/>
          <w:b/>
          <w:i w:val="0"/>
          <w:color w:val="1A1A1A"/>
          <w:sz w:val="64"/>
        </w:rPr>
        <w:t>Atlantech Online</w:t>
      </w:r>
    </w:p>
    <w:p>
      <w:pPr>
        <w:spacing w:after="560"/>
        <w:jc w:val="center"/>
      </w:pPr>
      <w:r>
        <w:rPr>
          <w:rFonts w:ascii="Arial" w:hAnsi="Arial"/>
          <w:b/>
          <w:i w:val="0"/>
          <w:color w:val="F5A623"/>
          <w:sz w:val="44"/>
        </w:rPr>
        <w:t>Wholesale Cloud On-Ramp</w:t>
      </w:r>
    </w:p>
    <w:p>
      <w:pPr>
        <w:spacing w:after="480"/>
        <w:jc w:val="center"/>
      </w:pPr>
      <w:r>
        <w:rPr>
          <w:rFonts w:ascii="Arial" w:hAnsi="Arial"/>
          <w:b w:val="0"/>
          <w:i w:val="0"/>
          <w:color w:val="F5A623"/>
          <w:sz w:val="28"/>
        </w:rPr>
        <w:t>———</w:t>
      </w:r>
    </w:p>
    <w:p>
      <w:pPr>
        <w:spacing w:after="800"/>
        <w:ind w:left="864" w:right="864"/>
        <w:jc w:val="center"/>
      </w:pPr>
      <w:r>
        <w:rPr>
          <w:rFonts w:ascii="Arial" w:hAnsi="Arial"/>
          <w:b w:val="0"/>
          <w:i/>
          <w:color w:val="1A1A1A"/>
          <w:sz w:val="24"/>
        </w:rPr>
        <w:t>Incremental unit economics for the wholesale cloud on-ramp on Atlantech's existing two 10G Ashburn ports, priced under a 36-month MaiaEdge subscription at 25% off list.</w:t>
      </w:r>
    </w:p>
    <w:p>
      <w:pPr>
        <w:spacing w:before="1200" w:after="80"/>
        <w:jc w:val="center"/>
      </w:pPr>
      <w:r>
        <w:rPr>
          <w:rFonts w:ascii="Arial" w:hAnsi="Arial"/>
          <w:b/>
          <w:i w:val="0"/>
          <w:color w:val="1A1A1A"/>
          <w:sz w:val="28"/>
        </w:rPr>
        <w:t>Private paths. Any network. Instantly.</w:t>
      </w:r>
    </w:p>
    <w:p>
      <w:pPr>
        <w:jc w:val="center"/>
      </w:pPr>
      <w:r>
        <w:rPr>
          <w:rFonts w:ascii="Arial" w:hAnsi="Arial"/>
          <w:b/>
          <w:i w:val="0"/>
          <w:color w:val="F5A623"/>
          <w:sz w:val="18"/>
          <w:caps w:val="true"/>
          <w:spacing w:val="120"/>
        </w:rPr>
        <w:t>CARRIER INFRASTRUCTURE FOR FEDERATED PRIVATE NETWORKING</w:t>
      </w:r>
    </w:p>
    <w:p>
      <w:r>
        <w:br w:type="page"/>
      </w:r>
    </w:p>
    <w:p>
      <w:pPr>
        <w:keepNext/>
        <w:spacing w:before="400" w:after="40"/>
      </w:pPr>
      <w:r>
        <w:rPr>
          <w:rFonts w:ascii="Arial" w:hAnsi="Arial"/>
          <w:b/>
          <w:i w:val="0"/>
          <w:color w:val="F5A623"/>
          <w:sz w:val="20"/>
          <w:caps w:val="true"/>
          <w:spacing w:val="120"/>
        </w:rPr>
        <w:t>01</w:t>
      </w:r>
      <w:r>
        <w:t xml:space="preserve">   </w:t>
      </w:r>
      <w:r>
        <w:rPr>
          <w:rFonts w:ascii="Arial" w:hAnsi="Arial"/>
          <w:b/>
          <w:i w:val="0"/>
          <w:color w:val="555555"/>
          <w:sz w:val="20"/>
          <w:caps w:val="true"/>
          <w:spacing w:val="120"/>
        </w:rPr>
        <w:t>OVERVIEW</w:t>
      </w:r>
    </w:p>
    <w:p>
      <w:pPr>
        <w:keepNext/>
        <w:spacing w:before="0" w:after="200"/>
        <w:pBdr>
          <w:bottom w:val="single" w:sz="8" w:space="1" w:color="F5A623"/>
        </w:pBdr>
      </w:pPr>
    </w:p>
    <w:p>
      <w:pPr>
        <w:keepNext/>
        <w:spacing w:before="120" w:after="200"/>
      </w:pPr>
      <w:r>
        <w:rPr>
          <w:rFonts w:ascii="Arial" w:hAnsi="Arial"/>
          <w:b/>
          <w:i w:val="0"/>
          <w:color w:val="1A1A1A"/>
          <w:sz w:val="40"/>
        </w:rPr>
        <w:t>Where We Are</w:t>
      </w:r>
    </w:p>
    <w:p>
      <w:pPr>
        <w:spacing w:after="160"/>
      </w:pPr>
      <w:r>
        <w:rPr>
          <w:rFonts w:ascii="Arial" w:hAnsi="Arial"/>
          <w:b w:val="0"/>
          <w:i w:val="0"/>
          <w:color w:val="1A1A1A"/>
          <w:sz w:val="21"/>
        </w:rPr>
        <w:t>Atlantech's MaiaEdge cloud on-ramp POC is live on the existing two 10G Equinix Fabric ports in Ashburn, and the production cutover is in motion. This document is a working economics brief — it sets out the incremental unit economics of the wholesale cloud on-ramp at the planned commercial terms, so the model can be evaluated alongside other capital and capacity decisions.</w:t>
      </w:r>
    </w:p>
    <w:p>
      <w:pPr>
        <w:spacing w:after="160"/>
      </w:pPr>
      <w:r>
        <w:rPr>
          <w:rFonts w:ascii="Arial" w:hAnsi="Arial"/>
          <w:b w:val="0"/>
          <w:i w:val="0"/>
          <w:color w:val="1A1A1A"/>
          <w:sz w:val="21"/>
        </w:rPr>
        <w:t>Two structural facts shape the model. First, both 10G Equinix ports are already in place and paid for as part of existing carrier services, so this product line carries no new infrastructure cost. Second, the MaiaEdge platform — two 10G PBCs and one MPP-48 port extender for tenant fanout — is set under a 36-month subscription at 25% off list, which together with the term commitment puts the combined per-month fee roughly 43% below equivalent annual-term list pricing.</w:t>
      </w:r>
    </w:p>
    <w:p>
      <w:pPr>
        <w:spacing w:before="200" w:after="40"/>
        <w:ind w:left="144"/>
        <w:shd w:val="clear" w:color="auto" w:fill="FFF7E8"/>
        <w:pBdr>
          <w:left w:val="single" w:sz="36" w:space="8" w:color="F5A623"/>
        </w:pBdr>
      </w:pPr>
      <w:r>
        <w:rPr>
          <w:rFonts w:ascii="Arial" w:hAnsi="Arial"/>
          <w:b/>
          <w:i w:val="0"/>
          <w:color w:val="F5A623"/>
          <w:sz w:val="18"/>
          <w:caps w:val="true"/>
          <w:spacing w:val="100"/>
        </w:rPr>
        <w:t>WHAT THIS BRIEF COVERS</w:t>
      </w:r>
    </w:p>
    <w:p>
      <w:pPr>
        <w:spacing w:after="200"/>
        <w:ind w:left="144"/>
        <w:shd w:val="clear" w:color="auto" w:fill="FFF7E8"/>
        <w:pBdr>
          <w:left w:val="single" w:sz="36" w:space="8" w:color="F5A623"/>
        </w:pBdr>
      </w:pPr>
      <w:r>
        <w:rPr>
          <w:rFonts w:ascii="Arial" w:hAnsi="Arial"/>
          <w:b w:val="0"/>
          <w:i w:val="0"/>
          <w:color w:val="1A1A1A"/>
          <w:sz w:val="21"/>
        </w:rPr>
        <w:t>Cost basis. Wholesale and retail price book. Sensitivity of contribution to oversubscription level. Ramp economics from first customer through full utilization. Partner-channel economics. Retail position relative to Megaport equivalents. Sensitivity of contribution to ramp pace.</w:t>
      </w:r>
    </w:p>
    <w:p>
      <w:pPr>
        <w:keepNext/>
        <w:spacing w:before="400" w:after="40"/>
      </w:pPr>
      <w:r>
        <w:rPr>
          <w:rFonts w:ascii="Arial" w:hAnsi="Arial"/>
          <w:b/>
          <w:i w:val="0"/>
          <w:color w:val="F5A623"/>
          <w:sz w:val="20"/>
          <w:caps w:val="true"/>
          <w:spacing w:val="120"/>
        </w:rPr>
        <w:t>02</w:t>
      </w:r>
      <w:r>
        <w:t xml:space="preserve">   </w:t>
      </w:r>
      <w:r>
        <w:rPr>
          <w:rFonts w:ascii="Arial" w:hAnsi="Arial"/>
          <w:b/>
          <w:i w:val="0"/>
          <w:color w:val="555555"/>
          <w:sz w:val="20"/>
          <w:caps w:val="true"/>
          <w:spacing w:val="120"/>
        </w:rPr>
        <w:t>STACK MODEL</w:t>
      </w:r>
    </w:p>
    <w:p>
      <w:pPr>
        <w:keepNext/>
        <w:spacing w:before="0" w:after="200"/>
        <w:pBdr>
          <w:bottom w:val="single" w:sz="8" w:space="1" w:color="F5A623"/>
        </w:pBdr>
      </w:pPr>
    </w:p>
    <w:p>
      <w:pPr>
        <w:keepNext/>
        <w:spacing w:before="120" w:after="200"/>
      </w:pPr>
      <w:r>
        <w:rPr>
          <w:rFonts w:ascii="Arial" w:hAnsi="Arial"/>
          <w:b/>
          <w:i w:val="0"/>
          <w:color w:val="1A1A1A"/>
          <w:sz w:val="40"/>
        </w:rPr>
        <w:t>The Wholesale Stack</w:t>
      </w:r>
    </w:p>
    <w:p>
      <w:pPr>
        <w:spacing w:after="160"/>
      </w:pPr>
      <w:r>
        <w:rPr>
          <w:rFonts w:ascii="Arial" w:hAnsi="Arial"/>
          <w:b w:val="0"/>
          <w:i w:val="0"/>
          <w:color w:val="1A1A1A"/>
          <w:sz w:val="21"/>
        </w:rPr>
        <w:t>Cloud on-ramp gets sold three times in this model. MaiaEdge sells the platform to Atlantech. Atlantech wholesales capacity to a partner carrier. The partner carrier retails the service to its end customer. Each layer earns a defensible margin and owns a different piece of the relationship.</w:t>
      </w:r>
    </w:p>
    <w:tbl>
      <w:tblPr>
        <w:tblW w:type="auto" w:w="0"/>
        <w:jc w:val="left"/>
        <w:tblLayout w:type="fixed"/>
        <w:tblLook w:firstColumn="1" w:firstRow="1" w:lastColumn="0" w:lastRow="0" w:noHBand="0" w:noVBand="1" w:val="04A0"/>
      </w:tblPr>
      <w:tblGrid>
        <w:gridCol w:w="2412"/>
        <w:gridCol w:w="2412"/>
        <w:gridCol w:w="2412"/>
        <w:gridCol w:w="2412"/>
      </w:tblGrid>
      <w:tr>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Layer</w:t>
            </w:r>
          </w:p>
        </w:tc>
        <w:tc>
          <w:tcPr>
            <w:tcW w:type="dxa" w:w="288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Role</w:t>
            </w:r>
          </w:p>
        </w:tc>
        <w:tc>
          <w:tcPr>
            <w:tcW w:type="dxa" w:w="273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Owns</w:t>
            </w:r>
          </w:p>
        </w:tc>
        <w:tc>
          <w:tcPr>
            <w:tcW w:type="dxa" w:w="2592"/>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Earns</w:t>
            </w:r>
          </w:p>
        </w:tc>
      </w:tr>
      <w:tr>
        <w:tc>
          <w:tcPr>
            <w:tcW w:type="dxa" w:w="14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MaiaEdge</w:t>
            </w:r>
          </w:p>
        </w:tc>
        <w:tc>
          <w:tcPr>
            <w:tcW w:type="dxa" w:w="288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Platform, port automation, cloud APIs</w:t>
            </w:r>
          </w:p>
        </w:tc>
        <w:tc>
          <w:tcPr>
            <w:tcW w:type="dxa" w:w="273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tech</w:t>
            </w:r>
          </w:p>
        </w:tc>
        <w:tc>
          <w:tcPr>
            <w:tcW w:type="dxa" w:w="259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Subscription revenue</w:t>
            </w:r>
          </w:p>
        </w:tc>
      </w:tr>
      <w:tr>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Atlantech</w:t>
            </w:r>
          </w:p>
        </w:tc>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Two 10G fabric ports, wholesale catalog, billing-of-record</w:t>
            </w:r>
          </w:p>
        </w:tc>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The infrastructure and the channel</w:t>
            </w:r>
          </w:p>
        </w:tc>
        <w:tc>
          <w:tcPr>
            <w:tcW w:type="dxa" w:w="259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~25% wholesale margin</w:t>
            </w:r>
          </w:p>
        </w:tc>
      </w:tr>
      <w:tr>
        <w:tc>
          <w:tcPr>
            <w:tcW w:type="dxa" w:w="14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Carrier</w:t>
            </w:r>
          </w:p>
        </w:tc>
        <w:tc>
          <w:tcPr>
            <w:tcW w:type="dxa" w:w="288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End-customer brand, sales, support</w:t>
            </w:r>
          </w:p>
        </w:tc>
        <w:tc>
          <w:tcPr>
            <w:tcW w:type="dxa" w:w="273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customer relationship</w:t>
            </w:r>
          </w:p>
        </w:tc>
        <w:tc>
          <w:tcPr>
            <w:tcW w:type="dxa" w:w="259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 retail margin</w:t>
            </w:r>
          </w:p>
        </w:tc>
      </w:tr>
      <w:tr>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End Customer</w:t>
            </w:r>
          </w:p>
        </w:tc>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Workload owner</w:t>
            </w:r>
          </w:p>
        </w:tc>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The cloud destination</w:t>
            </w:r>
          </w:p>
        </w:tc>
        <w:tc>
          <w:tcPr>
            <w:tcW w:type="dxa" w:w="259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Lowest retail in market</w:t>
            </w:r>
          </w:p>
        </w:tc>
      </w:tr>
    </w:tbl>
    <w:p>
      <w:pPr>
        <w:spacing w:after="120"/>
      </w:pPr>
    </w:p>
    <w:p>
      <w:pPr>
        <w:spacing w:after="160"/>
      </w:pPr>
      <w:r>
        <w:rPr>
          <w:rFonts w:ascii="Arial" w:hAnsi="Arial"/>
          <w:b w:val="0"/>
          <w:i w:val="0"/>
          <w:color w:val="1A1A1A"/>
          <w:sz w:val="21"/>
        </w:rPr>
        <w:t>The end customer never sees Megaport, never sees Atlantech, and never sees MaiaEdge — they see their carrier. The partner carrier sees Atlantech as a wholesale supplier. Atlantech sees MaiaEdge as a platform vendor. Each tier is invisible to the one above it, which is what makes the partner channel defensible long term.</w:t>
      </w:r>
    </w:p>
    <w:p>
      <w:pPr>
        <w:spacing w:after="160"/>
      </w:pPr>
      <w:r>
        <w:rPr>
          <w:rFonts w:ascii="Arial" w:hAnsi="Arial"/>
          <w:b w:val="0"/>
          <w:i w:val="0"/>
          <w:color w:val="1A1A1A"/>
          <w:sz w:val="21"/>
        </w:rPr>
        <w:t>The partner takes the larger margin slice (40%) because the partner fronts the customer relationship, the support, the billing, and the brand. Atlantech's 25% applies against a fixed cost base that does not grow with customer count.</w:t>
      </w:r>
    </w:p>
    <w:p>
      <w:pPr>
        <w:keepNext/>
        <w:spacing w:before="400" w:after="40"/>
      </w:pPr>
      <w:r>
        <w:rPr>
          <w:rFonts w:ascii="Arial" w:hAnsi="Arial"/>
          <w:b/>
          <w:i w:val="0"/>
          <w:color w:val="F5A623"/>
          <w:sz w:val="20"/>
          <w:caps w:val="true"/>
          <w:spacing w:val="120"/>
        </w:rPr>
        <w:t>03</w:t>
      </w:r>
      <w:r>
        <w:t xml:space="preserve">   </w:t>
      </w:r>
      <w:r>
        <w:rPr>
          <w:rFonts w:ascii="Arial" w:hAnsi="Arial"/>
          <w:b/>
          <w:i w:val="0"/>
          <w:color w:val="555555"/>
          <w:sz w:val="20"/>
          <w:caps w:val="true"/>
          <w:spacing w:val="120"/>
        </w:rPr>
        <w:t>COST STRUCTURE</w:t>
      </w:r>
    </w:p>
    <w:p>
      <w:pPr>
        <w:keepNext/>
        <w:spacing w:before="0" w:after="200"/>
        <w:pBdr>
          <w:bottom w:val="single" w:sz="8" w:space="1" w:color="F5A623"/>
        </w:pBdr>
      </w:pPr>
    </w:p>
    <w:p>
      <w:pPr>
        <w:keepNext/>
        <w:spacing w:before="120" w:after="200"/>
      </w:pPr>
      <w:r>
        <w:rPr>
          <w:rFonts w:ascii="Arial" w:hAnsi="Arial"/>
          <w:b/>
          <w:i w:val="0"/>
          <w:color w:val="1A1A1A"/>
          <w:sz w:val="40"/>
        </w:rPr>
        <w:t>Cost Structure &amp; the 3-Year Term Discount</w:t>
      </w:r>
    </w:p>
    <w:p>
      <w:pPr>
        <w:spacing w:after="160"/>
      </w:pPr>
      <w:r>
        <w:rPr>
          <w:rFonts w:ascii="Arial" w:hAnsi="Arial"/>
          <w:b w:val="0"/>
          <w:i w:val="0"/>
          <w:color w:val="1A1A1A"/>
          <w:sz w:val="21"/>
        </w:rPr>
        <w:t>Atlantech's two 10G Equinix Fabric ports at Ashburn are already in place and paid for as part of existing carrier services. The wholesale cloud on-ramp adds three MaiaEdge platform line items: one 10G PBC license per port, plus a single MPP-48 port extender that fans tenant cross-connects out to partner carriers in the meet-me room. All three are priced under a 36-month subscription at 25% off list and billed from day one of the production cutover.</w:t>
      </w:r>
    </w:p>
    <w:tbl>
      <w:tblPr>
        <w:tblW w:type="auto" w:w="0"/>
        <w:jc w:val="left"/>
        <w:tblLayout w:type="fixed"/>
        <w:tblLook w:firstColumn="1" w:firstRow="1" w:lastColumn="0" w:lastRow="0" w:noHBand="0" w:noVBand="1" w:val="04A0"/>
      </w:tblPr>
      <w:tblGrid>
        <w:gridCol w:w="3216"/>
        <w:gridCol w:w="3216"/>
        <w:gridCol w:w="3216"/>
      </w:tblGrid>
      <w:tr>
        <w:tc>
          <w:tcPr>
            <w:tcW w:type="dxa" w:w="53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Cost Element</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Monthly</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Status</w:t>
            </w:r>
          </w:p>
        </w:tc>
      </w:tr>
      <w:tr>
        <w:tc>
          <w:tcPr>
            <w:tcW w:type="dxa" w:w="532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10G Equinix Fabric port × 2 (Ashburn)</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$3,326/mo</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Pre-existing · already paid</w:t>
            </w:r>
          </w:p>
        </w:tc>
      </w:tr>
      <w:tr>
        <w:tc>
          <w:tcPr>
            <w:tcW w:type="dxa" w:w="532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MaiaEdge 10G PBC × 2 (36-mo term, 25% off)</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$1,457/mo</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Active from day 1</w:t>
            </w:r>
          </w:p>
        </w:tc>
      </w:tr>
      <w:tr>
        <w:tc>
          <w:tcPr>
            <w:tcW w:type="dxa" w:w="532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MaiaEdge MPP-48 port extender × 1 (36-mo, 25% off)</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$417/mo</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Active from day 1</w:t>
            </w:r>
          </w:p>
        </w:tc>
      </w:tr>
      <w:tr>
        <w:tc>
          <w:tcPr>
            <w:tcW w:type="dxa" w:w="532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Total new MaiaEdge platform cost</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$1,874/mo</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r>
    </w:tbl>
    <w:p>
      <w:pPr>
        <w:spacing w:after="120"/>
      </w:pPr>
    </w:p>
    <w:p>
      <w:pPr>
        <w:spacing w:before="200" w:after="40"/>
        <w:ind w:left="144"/>
        <w:shd w:val="clear" w:color="auto" w:fill="FFF7E8"/>
        <w:pBdr>
          <w:left w:val="single" w:sz="36" w:space="8" w:color="F5A623"/>
        </w:pBdr>
      </w:pPr>
      <w:r>
        <w:rPr>
          <w:rFonts w:ascii="Arial" w:hAnsi="Arial"/>
          <w:b/>
          <w:i w:val="0"/>
          <w:color w:val="F5A623"/>
          <w:sz w:val="18"/>
          <w:caps w:val="true"/>
          <w:spacing w:val="100"/>
        </w:rPr>
        <w:t>36-MONTH TERM, 25% OFF LIST — $1,874 / MONTH</w:t>
      </w:r>
    </w:p>
    <w:p>
      <w:pPr>
        <w:spacing w:after="200"/>
        <w:ind w:left="144"/>
        <w:shd w:val="clear" w:color="auto" w:fill="FFF7E8"/>
        <w:pBdr>
          <w:left w:val="single" w:sz="36" w:space="8" w:color="F5A623"/>
        </w:pBdr>
      </w:pPr>
      <w:r>
        <w:rPr>
          <w:rFonts w:ascii="Arial" w:hAnsi="Arial"/>
          <w:b w:val="0"/>
          <w:i w:val="0"/>
          <w:color w:val="1A1A1A"/>
          <w:sz w:val="21"/>
        </w:rPr>
        <w:t>List pricing on a 12-month subscription would place the same configuration at $3,303/month combined ($2,554 for two PBCs plus $749 for the MPP-48). The 36-month term and 25% volume discount put the combined platform fee at $1,874/month for the duration of the term — a difference of approximately $17,150/year in subscription cost versus annual-term list. Total TCV across both PBCs and the MPP-48 over 36 months is approximately $67,500.</w:t>
      </w:r>
    </w:p>
    <w:p>
      <w:pPr>
        <w:spacing w:after="160"/>
      </w:pPr>
      <w:r>
        <w:rPr>
          <w:rFonts w:ascii="Arial" w:hAnsi="Arial"/>
          <w:b w:val="0"/>
          <w:i w:val="0"/>
          <w:color w:val="1A1A1A"/>
          <w:sz w:val="21"/>
        </w:rPr>
        <w:t>MaiaEdge bills the platform fee from day one of the production cutover under the working terms reflected here. Subscription timing has been touched on in conversation between the parties and either side may revisit it, but the figures below stand on the day-one basis. Breakeven on the platform fee depends on the mix of customers signed rather than a fixed count: at the blended steady-state price (~$408/month average) it lands at roughly the fifth customer across the two-port system; a tilt toward Gold tier — or any larger custom arrangement — clears the fee sooner.</w:t>
      </w:r>
    </w:p>
    <w:p>
      <w:pPr>
        <w:keepNext/>
        <w:spacing w:before="400" w:after="40"/>
      </w:pPr>
      <w:r>
        <w:rPr>
          <w:rFonts w:ascii="Arial" w:hAnsi="Arial"/>
          <w:b/>
          <w:i w:val="0"/>
          <w:color w:val="F5A623"/>
          <w:sz w:val="20"/>
          <w:caps w:val="true"/>
          <w:spacing w:val="120"/>
        </w:rPr>
        <w:t>04</w:t>
      </w:r>
      <w:r>
        <w:t xml:space="preserve">   </w:t>
      </w:r>
      <w:r>
        <w:rPr>
          <w:rFonts w:ascii="Arial" w:hAnsi="Arial"/>
          <w:b/>
          <w:i w:val="0"/>
          <w:color w:val="555555"/>
          <w:sz w:val="20"/>
          <w:caps w:val="true"/>
          <w:spacing w:val="120"/>
        </w:rPr>
        <w:t>TWO-PORT ECONOMICS</w:t>
      </w:r>
    </w:p>
    <w:p>
      <w:pPr>
        <w:keepNext/>
        <w:spacing w:before="0" w:after="200"/>
        <w:pBdr>
          <w:bottom w:val="single" w:sz="8" w:space="1" w:color="F5A623"/>
        </w:pBdr>
      </w:pPr>
    </w:p>
    <w:p>
      <w:pPr>
        <w:keepNext/>
        <w:spacing w:before="120" w:after="200"/>
      </w:pPr>
      <w:r>
        <w:rPr>
          <w:rFonts w:ascii="Arial" w:hAnsi="Arial"/>
          <w:b/>
          <w:i w:val="0"/>
          <w:color w:val="1A1A1A"/>
          <w:sz w:val="40"/>
        </w:rPr>
        <w:t>Ramp &amp; Steady-State Economics</w:t>
      </w:r>
    </w:p>
    <w:p>
      <w:pPr>
        <w:keepNext/>
        <w:spacing w:before="280" w:after="120"/>
      </w:pPr>
      <w:r>
        <w:rPr>
          <w:rFonts w:ascii="Arial" w:hAnsi="Arial"/>
          <w:b/>
          <w:i w:val="0"/>
          <w:color w:val="1A1A1A"/>
          <w:sz w:val="26"/>
        </w:rPr>
        <w:t>Wholesale Price Book (10G Tier)</w:t>
      </w:r>
    </w:p>
    <w:p>
      <w:pPr>
        <w:spacing w:after="160"/>
      </w:pPr>
      <w:r>
        <w:rPr>
          <w:rFonts w:ascii="Arial" w:hAnsi="Arial"/>
          <w:b w:val="0"/>
          <w:i w:val="0"/>
          <w:color w:val="1A1A1A"/>
          <w:sz w:val="21"/>
        </w:rPr>
        <w:t>Atlantech's wholesale prices are 40% below the retail prices the partner carrier charges its end customer. Capacity allocation per 10G port follows the MaiaEdge service-tier design with statistical oversubscription, capped at 1.5× port logical capacity.</w:t>
      </w:r>
    </w:p>
    <w:tbl>
      <w:tblPr>
        <w:tblW w:type="auto" w:w="0"/>
        <w:jc w:val="left"/>
        <w:tblLayout w:type="fixed"/>
        <w:tblLook w:firstColumn="1" w:firstRow="1" w:lastColumn="0" w:lastRow="0" w:noHBand="0" w:noVBand="1" w:val="04A0"/>
      </w:tblPr>
      <w:tblGrid>
        <w:gridCol w:w="2412"/>
        <w:gridCol w:w="2412"/>
        <w:gridCol w:w="2412"/>
        <w:gridCol w:w="2412"/>
      </w:tblGrid>
      <w:tr>
        <w:tc>
          <w:tcPr>
            <w:tcW w:type="dxa" w:w="316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Tier</w:t>
            </w:r>
          </w:p>
        </w:tc>
        <w:tc>
          <w:tcPr>
            <w:tcW w:type="dxa" w:w="129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Price</w:t>
            </w:r>
          </w:p>
        </w:tc>
        <w:tc>
          <w:tcPr>
            <w:tcW w:type="dxa" w:w="345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Capacity per port</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 / port</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Gold (2G dedicated)</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$720/mo</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physical · 2G logical (1:1)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Silver (2G high-priority, 2:1 oversub)</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$540/mo</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4G physical · 8G logical (2:1)</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Bronze (1G best-effort, 2.5:1 oversub)</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$240/mo</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physical · 5G logical (2.5:1)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Headroom</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2G</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r>
      <w:tr>
        <w:tc>
          <w:tcPr>
            <w:tcW w:type="dxa" w:w="3168"/>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Per-port maximum</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15G logical / 10G physical (1.5×)</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10</w:t>
            </w:r>
          </w:p>
        </w:tc>
      </w:tr>
      <w:tr>
        <w:tc>
          <w:tcPr>
            <w:tcW w:type="dxa" w:w="3168"/>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Two-port maximum (Atlantech total)</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t>
            </w:r>
          </w:p>
        </w:tc>
        <w:tc>
          <w:tcPr>
            <w:tcW w:type="dxa" w:w="345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30G logical / 20G physical</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r>
    </w:tbl>
    <w:p>
      <w:pPr>
        <w:spacing w:after="120"/>
      </w:pPr>
    </w:p>
    <w:p>
      <w:pPr>
        <w:keepNext/>
        <w:spacing w:before="280" w:after="120"/>
      </w:pPr>
      <w:r>
        <w:rPr>
          <w:rFonts w:ascii="Arial" w:hAnsi="Arial"/>
          <w:b/>
          <w:i w:val="0"/>
          <w:color w:val="1A1A1A"/>
          <w:sz w:val="26"/>
        </w:rPr>
        <w:t>Sensitivity to Oversubscription Level</w:t>
      </w:r>
    </w:p>
    <w:p>
      <w:pPr>
        <w:spacing w:after="160"/>
      </w:pPr>
      <w:r>
        <w:rPr>
          <w:rFonts w:ascii="Arial" w:hAnsi="Arial"/>
          <w:b w:val="0"/>
          <w:i w:val="0"/>
          <w:color w:val="1A1A1A"/>
          <w:sz w:val="21"/>
        </w:rPr>
        <w:t>At a 1:1 capacity ratio, each 10G port supports about 5 customers and the two-port system delivers roughly half the steady-state contribution. At 1.5×, the customer count rises to 20 across the system at the same physical capacity. The 1.5× cap is a planning assumption for this model rather than a hard technical ceiling. Statistical oversubscription works because the probability of every tenant hitting peak demand simultaneously is low, and observed circuit utilization typically sits well below logical capacity. Higher ratios remain viable and can be revisited once live traffic patterns are in hand.</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Oversub</w:t>
            </w:r>
          </w:p>
        </w:tc>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w:t>
            </w:r>
          </w:p>
        </w:tc>
        <w:tc>
          <w:tcPr>
            <w:tcW w:type="dxa" w:w="216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Wholesale rev/mo</w:t>
            </w:r>
          </w:p>
        </w:tc>
        <w:tc>
          <w:tcPr>
            <w:tcW w:type="dxa" w:w="216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Contribution/mo</w:t>
            </w:r>
          </w:p>
        </w:tc>
        <w:tc>
          <w:tcPr>
            <w:tcW w:type="dxa" w:w="158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Annual</w:t>
            </w:r>
          </w:p>
        </w:tc>
      </w:tr>
      <w:tr>
        <w:tc>
          <w:tcPr>
            <w:tcW w:type="dxa" w:w="230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1.0× (no oversub)</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~10</w:t>
            </w:r>
          </w:p>
        </w:tc>
        <w:tc>
          <w:tcPr>
            <w:tcW w:type="dxa" w:w="216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~$5,160</w:t>
            </w:r>
          </w:p>
        </w:tc>
        <w:tc>
          <w:tcPr>
            <w:tcW w:type="dxa" w:w="216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~$3,286</w:t>
            </w:r>
          </w:p>
        </w:tc>
        <w:tc>
          <w:tcPr>
            <w:tcW w:type="dxa" w:w="158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~$39,432</w:t>
            </w:r>
          </w:p>
        </w:tc>
      </w:tr>
      <w:tr>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1.5× (this model)</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c>
          <w:tcPr>
            <w:tcW w:type="dxa" w:w="216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w:t>
            </w:r>
          </w:p>
        </w:tc>
        <w:tc>
          <w:tcPr>
            <w:tcW w:type="dxa" w:w="216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$6,286</w:t>
            </w:r>
          </w:p>
        </w:tc>
        <w:tc>
          <w:tcPr>
            <w:tcW w:type="dxa" w:w="158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$75,432</w:t>
            </w:r>
          </w:p>
        </w:tc>
      </w:tr>
    </w:tbl>
    <w:p>
      <w:pPr>
        <w:spacing w:after="120"/>
      </w:pPr>
    </w:p>
    <w:p>
      <w:pPr>
        <w:keepNext/>
        <w:spacing w:before="280" w:after="120"/>
      </w:pPr>
      <w:r>
        <w:rPr>
          <w:rFonts w:ascii="Arial" w:hAnsi="Arial"/>
          <w:b/>
          <w:i w:val="0"/>
          <w:color w:val="1A1A1A"/>
          <w:sz w:val="26"/>
        </w:rPr>
        <w:t>Incremental Ramp Economics (Two-Port System)</w:t>
      </w:r>
    </w:p>
    <w:p>
      <w:pPr>
        <w:spacing w:after="160"/>
      </w:pPr>
      <w:r>
        <w:rPr>
          <w:rFonts w:ascii="Arial" w:hAnsi="Arial"/>
          <w:b w:val="0"/>
          <w:i w:val="0"/>
          <w:color w:val="1A1A1A"/>
          <w:sz w:val="21"/>
        </w:rPr>
        <w:t>Average wholesale price per customer across the steady-state mix is approximately $408/month. The MaiaEdge platform fee is a flat $1,874/month from day one. The table below assumes customers ramp roughly evenly across both ports.</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273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Milestone</w:t>
            </w:r>
          </w:p>
        </w:tc>
        <w:tc>
          <w:tcPr>
            <w:tcW w:type="dxa" w:w="14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Customers</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Wholesale rev</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MaiaEdge fee</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Contribution</w:t>
            </w:r>
          </w:p>
        </w:tc>
      </w:tr>
      <w:tr>
        <w:tc>
          <w:tcPr>
            <w:tcW w:type="dxa" w:w="273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First customer</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$408/mo</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$1,874/mo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−$1,466/mo</w:t>
            </w:r>
          </w:p>
        </w:tc>
      </w:tr>
      <w:tr>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Cost-covered (breakeven)</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~5</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~$2,040/mo</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$1,874/mo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~$166/mo</w:t>
            </w:r>
          </w:p>
        </w:tc>
      </w:tr>
      <w:tr>
        <w:tc>
          <w:tcPr>
            <w:tcW w:type="dxa" w:w="273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60% utilization (ramp)</w:t>
            </w:r>
          </w:p>
        </w:tc>
        <w:tc>
          <w:tcPr>
            <w:tcW w:type="dxa" w:w="1440"/>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12</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$4,896/mo</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$1,874/mo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$3,022/mo (62%)</w:t>
            </w:r>
          </w:p>
        </w:tc>
      </w:tr>
      <w:tr>
        <w:tc>
          <w:tcPr>
            <w:tcW w:type="dxa" w:w="273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100% utilization (steady)</w:t>
            </w:r>
          </w:p>
        </w:tc>
        <w:tc>
          <w:tcPr>
            <w:tcW w:type="dxa" w:w="1440"/>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$8,160/mo</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$1,874/mo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$6,286/mo (77%)</w:t>
            </w:r>
          </w:p>
        </w:tc>
      </w:tr>
    </w:tbl>
    <w:p>
      <w:pPr>
        <w:spacing w:after="120"/>
      </w:pPr>
    </w:p>
    <w:p>
      <w:pPr>
        <w:spacing w:after="160"/>
      </w:pPr>
      <w:r>
        <w:rPr>
          <w:rFonts w:ascii="Arial" w:hAnsi="Arial"/>
          <w:b w:val="0"/>
          <w:i w:val="0"/>
          <w:color w:val="1A1A1A"/>
          <w:sz w:val="21"/>
        </w:rPr>
        <w:t>Breakeven on the platform fee occurs at roughly the fifth wholesale customer across the two-port system. Beyond that point, additional customers layer wholesale revenue on top of a fixed $1,874/month cost line. Contribution percentage rises from 8% at breakeven to 62% at 60% utilization and 77% at full utilization.</w:t>
      </w:r>
    </w:p>
    <w:p>
      <w:pPr>
        <w:spacing w:before="200" w:after="40"/>
        <w:ind w:left="144"/>
        <w:shd w:val="clear" w:color="auto" w:fill="FFF7E8"/>
        <w:pBdr>
          <w:left w:val="single" w:sz="36" w:space="8" w:color="F5A623"/>
        </w:pBdr>
      </w:pPr>
      <w:r>
        <w:rPr>
          <w:rFonts w:ascii="Arial" w:hAnsi="Arial"/>
          <w:b/>
          <w:i w:val="0"/>
          <w:color w:val="F5A623"/>
          <w:sz w:val="18"/>
          <w:caps w:val="true"/>
          <w:spacing w:val="100"/>
        </w:rPr>
        <w:t>STEADY-STATE CONTRIBUTION</w:t>
      </w:r>
    </w:p>
    <w:p>
      <w:pPr>
        <w:spacing w:after="200"/>
        <w:ind w:left="144"/>
        <w:shd w:val="clear" w:color="auto" w:fill="FFF7E8"/>
        <w:pBdr>
          <w:left w:val="single" w:sz="36" w:space="8" w:color="F5A623"/>
        </w:pBdr>
      </w:pPr>
      <w:r>
        <w:rPr>
          <w:rFonts w:ascii="Arial" w:hAnsi="Arial"/>
          <w:b w:val="0"/>
          <w:i w:val="0"/>
          <w:color w:val="1A1A1A"/>
          <w:sz w:val="21"/>
        </w:rPr>
        <w:t>At full utilization across both ports, the model produces $75,432 in annual incremental contribution against $1,874/month of MaiaEdge license fees, on ports already paid for as part of existing services. The 36-month term holds the platform fee at this level for the duration. The 10G physical-capacity ceiling sets the upper bound on this footprint; a future 100G deployment would shift the economics at a different fixed cost and is not modeled in this brief.</w:t>
      </w:r>
    </w:p>
    <w:p>
      <w:pPr>
        <w:keepNext/>
        <w:spacing w:before="400" w:after="40"/>
      </w:pPr>
      <w:r>
        <w:rPr>
          <w:rFonts w:ascii="Arial" w:hAnsi="Arial"/>
          <w:b/>
          <w:i w:val="0"/>
          <w:color w:val="F5A623"/>
          <w:sz w:val="20"/>
          <w:caps w:val="true"/>
          <w:spacing w:val="120"/>
        </w:rPr>
        <w:t>05</w:t>
      </w:r>
      <w:r>
        <w:t xml:space="preserve">   </w:t>
      </w:r>
      <w:r>
        <w:rPr>
          <w:rFonts w:ascii="Arial" w:hAnsi="Arial"/>
          <w:b/>
          <w:i w:val="0"/>
          <w:color w:val="555555"/>
          <w:sz w:val="20"/>
          <w:caps w:val="true"/>
          <w:spacing w:val="120"/>
        </w:rPr>
        <w:t>PARTNER CHANNEL</w:t>
      </w:r>
    </w:p>
    <w:p>
      <w:pPr>
        <w:keepNext/>
        <w:spacing w:before="0" w:after="200"/>
        <w:pBdr>
          <w:bottom w:val="single" w:sz="8" w:space="1" w:color="F5A623"/>
        </w:pBdr>
      </w:pPr>
    </w:p>
    <w:p>
      <w:pPr>
        <w:keepNext/>
        <w:spacing w:before="120" w:after="200"/>
      </w:pPr>
      <w:r>
        <w:rPr>
          <w:rFonts w:ascii="Arial" w:hAnsi="Arial"/>
          <w:b/>
          <w:i w:val="0"/>
          <w:color w:val="1A1A1A"/>
          <w:sz w:val="40"/>
        </w:rPr>
        <w:t>Partner Carrier Economics</w:t>
      </w:r>
    </w:p>
    <w:p>
      <w:pPr>
        <w:spacing w:after="160"/>
      </w:pPr>
      <w:r>
        <w:rPr>
          <w:rFonts w:ascii="Arial" w:hAnsi="Arial"/>
          <w:b w:val="0"/>
          <w:i w:val="0"/>
          <w:color w:val="1A1A1A"/>
          <w:sz w:val="21"/>
        </w:rPr>
        <w:t>The wholesale cloud on-ramp is sold through a partner-carrier channel rather than direct retail. The partner P&amp;L below describes what the channel layer earns at full utilization, and the customer-acquisition profile a partner carrier faces compared to building its own port.</w:t>
      </w:r>
    </w:p>
    <w:p>
      <w:pPr>
        <w:keepNext/>
        <w:spacing w:before="280" w:after="120"/>
      </w:pPr>
      <w:r>
        <w:rPr>
          <w:rFonts w:ascii="Arial" w:hAnsi="Arial"/>
          <w:b/>
          <w:i w:val="0"/>
          <w:color w:val="1A1A1A"/>
          <w:sz w:val="26"/>
        </w:rPr>
        <w:t>Partner P&amp;L Across Both Ports (at full utilization)</w:t>
      </w:r>
    </w:p>
    <w:tbl>
      <w:tblPr>
        <w:tblW w:type="auto" w:w="0"/>
        <w:jc w:val="left"/>
        <w:tblLayout w:type="fixed"/>
        <w:tblLook w:firstColumn="1" w:firstRow="1" w:lastColumn="0" w:lastRow="0" w:noHBand="0" w:noVBand="1" w:val="04A0"/>
      </w:tblPr>
      <w:tblGrid>
        <w:gridCol w:w="3216"/>
        <w:gridCol w:w="3216"/>
        <w:gridCol w:w="3216"/>
      </w:tblGrid>
      <w:tr>
        <w:tc>
          <w:tcPr>
            <w:tcW w:type="dxa" w:w="504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Line</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Monthly</w:t>
            </w:r>
          </w:p>
        </w:tc>
        <w:tc>
          <w:tcPr>
            <w:tcW w:type="dxa" w:w="230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Annual</w:t>
            </w:r>
          </w:p>
        </w:tc>
      </w:tr>
      <w:tr>
        <w:tc>
          <w:tcPr>
            <w:tcW w:type="dxa" w:w="50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Retail revenue (20 customers)</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$13,600</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$163,200</w:t>
            </w:r>
          </w:p>
        </w:tc>
      </w:tr>
      <w:tr>
        <w:tc>
          <w:tcPr>
            <w:tcW w:type="dxa" w:w="50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Cost from Atlantech (wholesale)</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$8,160</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$97,920</w:t>
            </w:r>
          </w:p>
        </w:tc>
      </w:tr>
      <w:tr>
        <w:tc>
          <w:tcPr>
            <w:tcW w:type="dxa" w:w="504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gross margin</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$5,440</w:t>
            </w:r>
          </w:p>
        </w:tc>
        <w:tc>
          <w:tcPr>
            <w:tcW w:type="dxa" w:w="230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$65,280</w:t>
            </w:r>
          </w:p>
        </w:tc>
      </w:tr>
      <w:tr>
        <w:tc>
          <w:tcPr>
            <w:tcW w:type="dxa" w:w="504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Partner gross margin %</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40%</w:t>
            </w:r>
          </w:p>
        </w:tc>
        <w:tc>
          <w:tcPr>
            <w:tcW w:type="dxa" w:w="230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40%</w:t>
            </w:r>
          </w:p>
        </w:tc>
      </w:tr>
    </w:tbl>
    <w:p>
      <w:pPr>
        <w:spacing w:after="120"/>
      </w:pPr>
    </w:p>
    <w:p>
      <w:pPr>
        <w:spacing w:after="160"/>
      </w:pPr>
      <w:r>
        <w:rPr>
          <w:rFonts w:ascii="Arial" w:hAnsi="Arial"/>
          <w:b w:val="0"/>
          <w:i w:val="0"/>
          <w:color w:val="1A1A1A"/>
          <w:sz w:val="21"/>
        </w:rPr>
        <w:t>By comparison, a partner carrier building its own Megaport port reaches port-level breakeven at roughly 18 to 20 customers, with 90 to 120 days of provisioning before first revenue. Buying capacity wholesale through Atlantech moves the partner's first-revenue point to the first customer signed and removes the port commitment from the partner's balance sheet.</w:t>
      </w:r>
    </w:p>
    <w:p>
      <w:pPr>
        <w:keepNext/>
        <w:spacing w:before="400" w:after="40"/>
      </w:pPr>
      <w:r>
        <w:rPr>
          <w:rFonts w:ascii="Arial" w:hAnsi="Arial"/>
          <w:b/>
          <w:i w:val="0"/>
          <w:color w:val="F5A623"/>
          <w:sz w:val="20"/>
          <w:caps w:val="true"/>
          <w:spacing w:val="120"/>
        </w:rPr>
        <w:t>06</w:t>
      </w:r>
      <w:r>
        <w:t xml:space="preserve">   </w:t>
      </w:r>
      <w:r>
        <w:rPr>
          <w:rFonts w:ascii="Arial" w:hAnsi="Arial"/>
          <w:b/>
          <w:i w:val="0"/>
          <w:color w:val="555555"/>
          <w:sz w:val="20"/>
          <w:caps w:val="true"/>
          <w:spacing w:val="120"/>
        </w:rPr>
        <w:t>RETAIL POSITION</w:t>
      </w:r>
    </w:p>
    <w:p>
      <w:pPr>
        <w:keepNext/>
        <w:spacing w:before="0" w:after="200"/>
        <w:pBdr>
          <w:bottom w:val="single" w:sz="8" w:space="1" w:color="F5A623"/>
        </w:pBdr>
      </w:pPr>
    </w:p>
    <w:p>
      <w:pPr>
        <w:keepNext/>
        <w:spacing w:before="120" w:after="200"/>
      </w:pPr>
      <w:r>
        <w:rPr>
          <w:rFonts w:ascii="Arial" w:hAnsi="Arial"/>
          <w:b/>
          <w:i w:val="0"/>
          <w:color w:val="1A1A1A"/>
          <w:sz w:val="40"/>
        </w:rPr>
        <w:t>Retail Position vs. Megaport</w:t>
      </w:r>
    </w:p>
    <w:p>
      <w:pPr>
        <w:spacing w:after="160"/>
      </w:pPr>
      <w:r>
        <w:rPr>
          <w:rFonts w:ascii="Arial" w:hAnsi="Arial"/>
          <w:b w:val="0"/>
          <w:i w:val="0"/>
          <w:color w:val="1A1A1A"/>
          <w:sz w:val="21"/>
        </w:rPr>
        <w:t>The retail prices in this model are set by the partner carrier, not Atlantech. They sit roughly 15–20% below publicly referenced Megaport rates for equivalent multi-cloud service profiles. The table below compares the three retail tiers to Megaport benchmarks at comparable bandwidth and feature sets.</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86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Tier</w:t>
            </w:r>
          </w:p>
        </w:tc>
        <w:tc>
          <w:tcPr>
            <w:tcW w:type="dxa" w:w="3744"/>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Profile</w:t>
            </w:r>
          </w:p>
        </w:tc>
        <w:tc>
          <w:tcPr>
            <w:tcW w:type="dxa" w:w="172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Megaport equiv.</w:t>
            </w:r>
          </w:p>
        </w:tc>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MaiaEdge retail</w:t>
            </w:r>
          </w:p>
        </w:tc>
        <w:tc>
          <w:tcPr>
            <w:tcW w:type="dxa" w:w="129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Savings</w:t>
            </w:r>
          </w:p>
        </w:tc>
      </w:tr>
      <w:tr>
        <w:tc>
          <w:tcPr>
            <w:tcW w:type="dxa" w:w="86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Gold</w:t>
            </w:r>
          </w:p>
        </w:tc>
        <w:tc>
          <w:tcPr>
            <w:tcW w:type="dxa" w:w="374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2G dedicated to AWS, multi-cloud included</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~$1,500/mo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$1,200/mo</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20%</w:t>
            </w:r>
          </w:p>
        </w:tc>
      </w:tr>
      <w:tr>
        <w:tc>
          <w:tcPr>
            <w:tcW w:type="dxa" w:w="864"/>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Silver</w:t>
            </w:r>
          </w:p>
        </w:tc>
        <w:tc>
          <w:tcPr>
            <w:tcW w:type="dxa" w:w="3744"/>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2G high-priority, multi-cloud included</w:t>
            </w:r>
          </w:p>
        </w:tc>
        <w:tc>
          <w:tcPr>
            <w:tcW w:type="dxa" w:w="172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~$1,100/mo</w:t>
            </w:r>
          </w:p>
        </w:tc>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$900/mo</w:t>
            </w:r>
          </w:p>
        </w:tc>
        <w:tc>
          <w:tcPr>
            <w:tcW w:type="dxa" w:w="1296"/>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w:t>
            </w:r>
          </w:p>
        </w:tc>
      </w:tr>
      <w:tr>
        <w:tc>
          <w:tcPr>
            <w:tcW w:type="dxa" w:w="864"/>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Bronze</w:t>
            </w:r>
          </w:p>
        </w:tc>
        <w:tc>
          <w:tcPr>
            <w:tcW w:type="dxa" w:w="3744"/>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1G best-effort, single cloud</w:t>
            </w:r>
          </w:p>
        </w:tc>
        <w:tc>
          <w:tcPr>
            <w:tcW w:type="dxa" w:w="172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~$550/mo</w:t>
            </w:r>
          </w:p>
        </w:tc>
        <w:tc>
          <w:tcPr>
            <w:tcW w:type="dxa" w:w="201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$400/mo</w:t>
            </w:r>
          </w:p>
        </w:tc>
        <w:tc>
          <w:tcPr>
            <w:tcW w:type="dxa" w:w="1296"/>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27%</w:t>
            </w:r>
          </w:p>
        </w:tc>
      </w:tr>
    </w:tbl>
    <w:p>
      <w:pPr>
        <w:spacing w:after="120"/>
      </w:pPr>
    </w:p>
    <w:p>
      <w:pPr>
        <w:spacing w:after="160"/>
      </w:pPr>
      <w:r>
        <w:rPr>
          <w:rFonts w:ascii="Arial" w:hAnsi="Arial"/>
          <w:b w:val="0"/>
          <w:i w:val="0"/>
          <w:color w:val="1A1A1A"/>
          <w:sz w:val="21"/>
        </w:rPr>
        <w:t>A portion of the gap reflects architecture rather than list-price differential. Megaport's multi-cloud configuration typically requires a separate Megaport Cloud Router (MCR) at $700–$1,200/month per customer; the MaiaEdge PBC handles the multi-cloud routing in-platform without that line item. The benchmark figures cited here are drawn from public references and partner conversations, and should be validated against live Megaport quotes before any external use.</w:t>
      </w:r>
    </w:p>
    <w:p>
      <w:pPr>
        <w:keepNext/>
        <w:spacing w:before="400" w:after="40"/>
      </w:pPr>
      <w:r>
        <w:rPr>
          <w:rFonts w:ascii="Arial" w:hAnsi="Arial"/>
          <w:b/>
          <w:i w:val="0"/>
          <w:color w:val="F5A623"/>
          <w:sz w:val="20"/>
          <w:caps w:val="true"/>
          <w:spacing w:val="120"/>
        </w:rPr>
        <w:t>07</w:t>
      </w:r>
      <w:r>
        <w:t xml:space="preserve">   </w:t>
      </w:r>
      <w:r>
        <w:rPr>
          <w:rFonts w:ascii="Arial" w:hAnsi="Arial"/>
          <w:b/>
          <w:i w:val="0"/>
          <w:color w:val="555555"/>
          <w:sz w:val="20"/>
          <w:caps w:val="true"/>
          <w:spacing w:val="120"/>
        </w:rPr>
        <w:t>TIMING SENSITIVITY</w:t>
      </w:r>
    </w:p>
    <w:p>
      <w:pPr>
        <w:keepNext/>
        <w:spacing w:before="0" w:after="200"/>
        <w:pBdr>
          <w:bottom w:val="single" w:sz="8" w:space="1" w:color="F5A623"/>
        </w:pBdr>
      </w:pPr>
    </w:p>
    <w:p>
      <w:pPr>
        <w:keepNext/>
        <w:spacing w:before="120" w:after="200"/>
      </w:pPr>
      <w:r>
        <w:rPr>
          <w:rFonts w:ascii="Arial" w:hAnsi="Arial"/>
          <w:b/>
          <w:i w:val="0"/>
          <w:color w:val="1A1A1A"/>
          <w:sz w:val="40"/>
        </w:rPr>
        <w:t>Sensitivity to Ramp Timing</w:t>
      </w:r>
    </w:p>
    <w:p>
      <w:pPr>
        <w:spacing w:after="160"/>
      </w:pPr>
      <w:r>
        <w:rPr>
          <w:rFonts w:ascii="Arial" w:hAnsi="Arial"/>
          <w:b w:val="0"/>
          <w:i w:val="0"/>
          <w:color w:val="1A1A1A"/>
          <w:sz w:val="21"/>
        </w:rPr>
        <w:t>The contribution figures elsewhere in this brief describe the system at 100% utilization. Actual contribution in any given period depends on the pace at which wholesale customers are signed onto the platform. The two tables below describe how outcomes scale with ramp pace and list the project items currently open at Atlantech that influence that pace.</w:t>
      </w:r>
    </w:p>
    <w:p>
      <w:pPr>
        <w:keepNext/>
        <w:spacing w:before="280" w:after="120"/>
      </w:pPr>
      <w:r>
        <w:rPr>
          <w:rFonts w:ascii="Arial" w:hAnsi="Arial"/>
          <w:b/>
          <w:i w:val="0"/>
          <w:color w:val="1A1A1A"/>
          <w:sz w:val="26"/>
        </w:rPr>
        <w:t>Annualized Contribution by Ramp Delay</w:t>
      </w:r>
    </w:p>
    <w:p>
      <w:pPr>
        <w:spacing w:after="160"/>
      </w:pPr>
      <w:r>
        <w:rPr>
          <w:rFonts w:ascii="Arial" w:hAnsi="Arial"/>
          <w:b w:val="0"/>
          <w:i/>
          <w:color w:val="1A1A1A"/>
          <w:sz w:val="21"/>
        </w:rPr>
        <w:t>Two-port system at steady state, before compounding effects on the eventual 100G upgrade timing and second-metro partner pipeline:</w:t>
      </w:r>
    </w:p>
    <w:tbl>
      <w:tblPr>
        <w:tblW w:type="auto" w:w="0"/>
        <w:jc w:val="left"/>
        <w:tblLayout w:type="fixed"/>
        <w:tblLook w:firstColumn="1" w:firstRow="1" w:lastColumn="0" w:lastRow="0" w:noHBand="0" w:noVBand="1" w:val="04A0"/>
      </w:tblPr>
      <w:tblGrid>
        <w:gridCol w:w="4824"/>
        <w:gridCol w:w="4824"/>
      </w:tblGrid>
      <w:tr>
        <w:tc>
          <w:tcPr>
            <w:tcW w:type="dxa" w:w="2016"/>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Delay</w:t>
            </w:r>
          </w:p>
        </w:tc>
        <w:tc>
          <w:tcPr>
            <w:tcW w:type="dxa" w:w="7632"/>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Foregone contribution (2-port system, steady state)</w:t>
            </w:r>
          </w:p>
        </w:tc>
      </w:tr>
      <w:tr>
        <w:tc>
          <w:tcPr>
            <w:tcW w:type="dxa" w:w="201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 month</w:t>
            </w:r>
          </w:p>
        </w:tc>
        <w:tc>
          <w:tcPr>
            <w:tcW w:type="dxa" w:w="763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~$6,286</w:t>
            </w:r>
          </w:p>
        </w:tc>
      </w:tr>
      <w:tr>
        <w:tc>
          <w:tcPr>
            <w:tcW w:type="dxa" w:w="2016"/>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1 quarter</w:t>
            </w:r>
          </w:p>
        </w:tc>
        <w:tc>
          <w:tcPr>
            <w:tcW w:type="dxa" w:w="7632"/>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~$18,858</w:t>
            </w:r>
          </w:p>
        </w:tc>
      </w:tr>
      <w:tr>
        <w:tc>
          <w:tcPr>
            <w:tcW w:type="dxa" w:w="2016"/>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1 year</w:t>
            </w:r>
          </w:p>
        </w:tc>
        <w:tc>
          <w:tcPr>
            <w:tcW w:type="dxa" w:w="7632"/>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~$75,432 (one full system-year)</w:t>
            </w:r>
          </w:p>
        </w:tc>
      </w:tr>
    </w:tbl>
    <w:p>
      <w:pPr>
        <w:spacing w:after="120"/>
      </w:pPr>
    </w:p>
    <w:p>
      <w:pPr>
        <w:keepNext/>
        <w:spacing w:before="280" w:after="120"/>
      </w:pPr>
      <w:r>
        <w:rPr>
          <w:rFonts w:ascii="Arial" w:hAnsi="Arial"/>
          <w:b/>
          <w:i w:val="0"/>
          <w:color w:val="1A1A1A"/>
          <w:sz w:val="26"/>
        </w:rPr>
        <w:t>Items Currently Open at Atlantech</w:t>
      </w:r>
    </w:p>
    <w:tbl>
      <w:tblPr>
        <w:tblW w:type="auto" w:w="0"/>
        <w:jc w:val="left"/>
        <w:tblLayout w:type="fixed"/>
        <w:tblLook w:firstColumn="1" w:firstRow="1" w:lastColumn="0" w:lastRow="0" w:noHBand="0" w:noVBand="1" w:val="04A0"/>
      </w:tblPr>
      <w:tblGrid>
        <w:gridCol w:w="4824"/>
        <w:gridCol w:w="4824"/>
      </w:tblGrid>
      <w:tr>
        <w:tc>
          <w:tcPr>
            <w:tcW w:type="dxa" w:w="2880"/>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Item</w:t>
            </w:r>
          </w:p>
        </w:tc>
        <w:tc>
          <w:tcPr>
            <w:tcW w:type="dxa" w:w="6768"/>
            <w:shd w:val="clear" w:color="auto" w:fill="1A1A1A"/>
            <w:vAlign w:val="center"/>
            <w:tcBorders>
              <w:top w:val="single" w:sz="4" w:color="1A1A1A"/>
              <w:left w:val="nil"/>
              <w:bottom w:val="single" w:sz="8" w:color="F5A623"/>
              <w:right w:val="nil"/>
            </w:tcBorders>
          </w:tcPr>
          <w:p>
            <w:pPr>
              <w:spacing w:before="60" w:after="60"/>
            </w:pPr>
            <w:r/>
            <w:r>
              <w:rPr>
                <w:rFonts w:ascii="Arial" w:hAnsi="Arial"/>
                <w:b/>
                <w:i w:val="0"/>
                <w:color w:val="FFFFFF"/>
                <w:sz w:val="17"/>
              </w:rPr>
              <w:t>What it influences</w:t>
            </w:r>
          </w:p>
        </w:tc>
      </w:tr>
      <w:tr>
        <w:tc>
          <w:tcPr>
            <w:tcW w:type="dxa" w:w="288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Partner recruitment scope</w:t>
            </w:r>
          </w:p>
        </w:tc>
        <w:tc>
          <w:tcPr>
            <w:tcW w:type="dxa" w:w="676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The wholesale price book is locked. Engaging two to three regional carrier partners would be sufficient to clear the five-customer breakeven threshold inside the first 60 to 90 days of partner conversations.</w:t>
            </w:r>
          </w:p>
        </w:tc>
      </w:tr>
      <w:tr>
        <w:tc>
          <w:tcPr>
            <w:tcW w:type="dxa" w:w="2880"/>
            <w:vAlign w:val="center"/>
            <w:shd w:val="clear" w:color="auto" w:fill="F5F5F5"/>
            <w:tcBorders>
              <w:top w:val="single" w:sz="2" w:color="E0E0E0"/>
              <w:left w:val="nil"/>
              <w:bottom w:val="single" w:sz="2" w:color="E0E0E0"/>
              <w:right w:val="nil"/>
            </w:tcBorders>
          </w:tcPr>
          <w:p>
            <w:pPr>
              <w:spacing w:before="40" w:after="40"/>
            </w:pPr>
            <w:r/>
            <w:r>
              <w:rPr>
                <w:rFonts w:ascii="Arial" w:hAnsi="Arial"/>
                <w:b/>
                <w:i w:val="0"/>
                <w:color w:val="1A1A1A"/>
                <w:sz w:val="19"/>
              </w:rPr>
              <w:t>Wholesale terms documentation</w:t>
            </w:r>
          </w:p>
        </w:tc>
        <w:tc>
          <w:tcPr>
            <w:tcW w:type="dxa" w:w="6768"/>
            <w:vAlign w:val="center"/>
            <w:shd w:val="clear" w:color="auto" w:fill="F5F5F5"/>
            <w:tcBorders>
              <w:top w:val="single" w:sz="2" w:color="E0E0E0"/>
              <w:left w:val="nil"/>
              <w:bottom w:val="single" w:sz="2" w:color="E0E0E0"/>
              <w:right w:val="nil"/>
            </w:tcBorders>
          </w:tcPr>
          <w:p>
            <w:pPr>
              <w:spacing w:before="40" w:after="40"/>
            </w:pPr>
            <w:r/>
            <w:r>
              <w:rPr>
                <w:rFonts w:ascii="Arial" w:hAnsi="Arial"/>
                <w:b w:val="0"/>
                <w:i w:val="0"/>
                <w:color w:val="1A1A1A"/>
                <w:sz w:val="19"/>
              </w:rPr>
              <w:t>Written wholesale terms reduce the time partner carriers need to bring the relationship through their own commercial review.</w:t>
            </w:r>
          </w:p>
        </w:tc>
      </w:tr>
      <w:tr>
        <w:tc>
          <w:tcPr>
            <w:tcW w:type="dxa" w:w="2880"/>
            <w:vAlign w:val="center"/>
            <w:tcBorders>
              <w:top w:val="single" w:sz="2" w:color="E0E0E0"/>
              <w:left w:val="nil"/>
              <w:bottom w:val="single" w:sz="2" w:color="E0E0E0"/>
              <w:right w:val="nil"/>
            </w:tcBorders>
          </w:tcPr>
          <w:p>
            <w:pPr>
              <w:spacing w:before="40" w:after="40"/>
            </w:pPr>
            <w:r/>
            <w:r>
              <w:rPr>
                <w:rFonts w:ascii="Arial" w:hAnsi="Arial"/>
                <w:b/>
                <w:i w:val="0"/>
                <w:color w:val="1A1A1A"/>
                <w:sz w:val="19"/>
              </w:rPr>
              <w:t>Ramp cadence target</w:t>
            </w:r>
          </w:p>
        </w:tc>
        <w:tc>
          <w:tcPr>
            <w:tcW w:type="dxa" w:w="6768"/>
            <w:vAlign w:val="center"/>
            <w:tcBorders>
              <w:top w:val="single" w:sz="2" w:color="E0E0E0"/>
              <w:left w:val="nil"/>
              <w:bottom w:val="single" w:sz="2" w:color="E0E0E0"/>
              <w:right w:val="nil"/>
            </w:tcBorders>
          </w:tcPr>
          <w:p>
            <w:pPr>
              <w:spacing w:before="40" w:after="40"/>
            </w:pPr>
            <w:r/>
            <w:r>
              <w:rPr>
                <w:rFonts w:ascii="Arial" w:hAnsi="Arial"/>
                <w:b w:val="0"/>
                <w:i w:val="0"/>
                <w:color w:val="1A1A1A"/>
                <w:sz w:val="19"/>
              </w:rPr>
              <w:t>An explicit per-quarter customer-count target (e.g., 5 within 90 days of production cutover, 12 within 180 days, 20 within 270 days) makes ramp progress measurable and ties any future 100G upgrade evaluation to a specific date.</w:t>
            </w:r>
          </w:p>
        </w:tc>
      </w:tr>
    </w:tbl>
    <w:p>
      <w:pPr>
        <w:spacing w:after="120"/>
      </w:pPr>
    </w:p>
    <w:p>
      <w:pPr>
        <w:spacing w:before="480" w:after="40"/>
        <w:pBdr>
          <w:bottom w:val="single" w:sz="8" w:space="1" w:color="F5A623"/>
        </w:pBdr>
      </w:pPr>
    </w:p>
    <w:p>
      <w:pPr>
        <w:spacing w:before="160"/>
        <w:jc w:val="center"/>
      </w:pPr>
      <w:r>
        <w:rPr>
          <w:rFonts w:ascii="Arial" w:hAnsi="Arial"/>
          <w:b w:val="0"/>
          <w:i w:val="0"/>
          <w:color w:val="555555"/>
          <w:sz w:val="16"/>
          <w:caps w:val="true"/>
          <w:spacing w:val="80"/>
        </w:rPr>
        <w:t>MaiaEdge  ·  Atlantech Online  ·  Economics Brief — Working Draft</w:t>
      </w:r>
    </w:p>
    <w:sectPr w:rsidR="00FC693F" w:rsidRPr="0006063C" w:rsidSect="00034616">
      <w:headerReference w:type="first" r:id="rId10"/>
      <w:footerReference w:type="first" r:id="rId11"/>
      <w:headerReference w:type="default" r:id="rId12"/>
      <w:footerReference w:type="default" r:id="rId13"/>
      <w:pgSz w:w="12240" w:h="15840"/>
      <w:pgMar w:top="1152" w:right="1296" w:bottom="1152" w:left="1296"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720"/>
      </w:tabs>
    </w:pPr>
    <w:r>
      <w:rPr>
        <w:rFonts w:ascii="Arial" w:hAnsi="Arial"/>
        <w:b w:val="0"/>
        <w:i w:val="0"/>
        <w:color w:val="555555"/>
        <w:sz w:val="16"/>
        <w:caps w:val="true"/>
        <w:spacing w:val="60"/>
      </w:rPr>
      <w:t>CONFIDENTIAL  ·  WORKING DRAFT</w:t>
    </w:r>
    <w:r>
      <w:tab/>
    </w:r>
    <w:r>
      <w:rPr>
        <w:rFonts w:ascii="Arial" w:hAnsi="Arial"/>
        <w:b w:val="0"/>
        <w:i w:val="0"/>
        <w:color w:val="555555"/>
        <w:sz w:val="16"/>
      </w:rPr>
      <w:t xml:space="preserve">MaiaEdge × Atlantech    </w:t>
    </w:r>
    <w:r>
      <w:rPr>
        <w:rFonts w:ascii="Arial" w:hAnsi="Arial"/>
        <w:color w:val="555555"/>
        <w:sz w:val="16"/>
      </w:rPr>
      <w:fldChar w:fldCharType="begin"/>
      <w:instrText xml:space="preserve"> PAGE </w:instrText>
      <w:fldChar w:fldCharType="end"/>
    </w:r>
    <w:r>
      <w:rPr>
        <w:rFonts w:ascii="Arial" w:hAnsi="Arial"/>
        <w:b w:val="0"/>
        <w:i w:val="0"/>
        <w:color w:val="555555"/>
        <w:sz w:val="16"/>
      </w:rPr>
      <w:t xml:space="preserve"> of </w:t>
    </w:r>
    <w:r>
      <w:rPr>
        <w:rFonts w:ascii="Arial" w:hAnsi="Arial"/>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720"/>
      </w:tabs>
      <w:pBdr>
        <w:bottom w:val="single" w:sz="8" w:space="1" w:color="F5A623"/>
      </w:pBdr>
    </w:pPr>
    <w:r>
      <w:drawing>
        <wp:inline xmlns:a="http://schemas.openxmlformats.org/drawingml/2006/main" xmlns:pic="http://schemas.openxmlformats.org/drawingml/2006/picture">
          <wp:extent cx="1005840" cy="287383"/>
          <wp:docPr id="1" name="Picture 1"/>
          <wp:cNvGraphicFramePr>
            <a:graphicFrameLocks noChangeAspect="1"/>
          </wp:cNvGraphicFramePr>
          <a:graphic>
            <a:graphicData uri="http://schemas.openxmlformats.org/drawingml/2006/picture">
              <pic:pic>
                <pic:nvPicPr>
                  <pic:cNvPr id="0" name="maiaedge_logo.png"/>
                  <pic:cNvPicPr/>
                </pic:nvPicPr>
                <pic:blipFill>
                  <a:blip r:embed="rId1"/>
                  <a:stretch>
                    <a:fillRect/>
                  </a:stretch>
                </pic:blipFill>
                <pic:spPr>
                  <a:xfrm>
                    <a:off x="0" y="0"/>
                    <a:ext cx="1005840" cy="287383"/>
                  </a:xfrm>
                  <a:prstGeom prst="rect"/>
                </pic:spPr>
              </pic:pic>
            </a:graphicData>
          </a:graphic>
        </wp:inline>
      </w:drawing>
    </w:r>
    <w:r>
      <w:tab/>
    </w:r>
    <w:r>
      <w:rPr>
        <w:rFonts w:ascii="Arial" w:hAnsi="Arial"/>
        <w:b w:val="0"/>
        <w:i w:val="0"/>
        <w:color w:val="555555"/>
        <w:sz w:val="16"/>
        <w:caps w:val="true"/>
        <w:spacing w:val="60"/>
      </w:rPr>
      <w:t>ATLANTECH  ·  ECONOMICS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