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7658" w14:paraId="5BFBE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6DCDCEF9" w14:textId="77777777" w:rsidR="00127658" w:rsidRDefault="00000000">
            <w:r>
              <w:rPr>
                <w:noProof/>
              </w:rPr>
              <w:drawing>
                <wp:inline distT="0" distB="0" distL="0" distR="0" wp14:anchorId="4CF7AE40" wp14:editId="54E49D0C">
                  <wp:extent cx="1733550" cy="495300"/>
                  <wp:effectExtent l="0" t="0" r="0" b="0"/>
                  <wp:docPr id="1" name="MaiaEdgeLogo" descr="MaiaEdge logo" title="MaiaE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bottom"/>
          </w:tcPr>
          <w:p w14:paraId="0B8A1953" w14:textId="77777777" w:rsidR="00127658" w:rsidRDefault="00000000">
            <w:pPr>
              <w:pBdr>
                <w:left w:val="single" w:sz="12" w:space="8" w:color="F7941D"/>
              </w:pBdr>
            </w:pPr>
            <w:r>
              <w:rPr>
                <w:b/>
                <w:bCs/>
                <w:color w:val="231F20"/>
                <w:sz w:val="30"/>
                <w:szCs w:val="30"/>
              </w:rPr>
              <w:t>Private Cloud Connectivity for Bare Metal AI Infrastructure</w:t>
            </w:r>
          </w:p>
          <w:p w14:paraId="4BFA4A29" w14:textId="77777777" w:rsidR="00127658" w:rsidRDefault="00000000">
            <w:pPr>
              <w:pBdr>
                <w:left w:val="single" w:sz="12" w:space="8" w:color="F7941D"/>
              </w:pBdr>
              <w:spacing w:before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How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MaiaEdge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helps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Cirrascale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reduce customer egress costs and expand enterprise reach</w:t>
            </w:r>
          </w:p>
        </w:tc>
      </w:tr>
    </w:tbl>
    <w:p w14:paraId="6A95AAB2" w14:textId="77777777" w:rsidR="00127658" w:rsidRDefault="00127658">
      <w:pPr>
        <w:spacing w:line="120" w:lineRule="auto"/>
      </w:pPr>
    </w:p>
    <w:p w14:paraId="0AC26E32" w14:textId="77777777" w:rsidR="00127658" w:rsidRDefault="00127658">
      <w:pPr>
        <w:pBdr>
          <w:bottom w:val="single" w:sz="12" w:space="2" w:color="F7941D"/>
        </w:pBdr>
        <w:spacing w:after="160"/>
      </w:pPr>
    </w:p>
    <w:p w14:paraId="600A2D7C" w14:textId="77777777" w:rsidR="00127658" w:rsidRDefault="00000000">
      <w:pPr>
        <w:spacing w:before="60" w:after="60"/>
      </w:pPr>
      <w:proofErr w:type="spellStart"/>
      <w:r>
        <w:rPr>
          <w:color w:val="444444"/>
        </w:rPr>
        <w:t>Cirrascale's</w:t>
      </w:r>
      <w:proofErr w:type="spellEnd"/>
      <w:r>
        <w:rPr>
          <w:color w:val="444444"/>
        </w:rPr>
        <w:t xml:space="preserve"> customers increasingly split AI workloads between </w:t>
      </w:r>
      <w:proofErr w:type="spellStart"/>
      <w:r>
        <w:rPr>
          <w:color w:val="444444"/>
        </w:rPr>
        <w:t>hyperscalers</w:t>
      </w:r>
      <w:proofErr w:type="spellEnd"/>
      <w:r>
        <w:rPr>
          <w:color w:val="444444"/>
        </w:rPr>
        <w:t xml:space="preserve"> and bare metal. The friction is the network: customers pay public internet egress rates, manage separate connectivity relationships, and have no unified view across environments. </w:t>
      </w:r>
      <w:proofErr w:type="spellStart"/>
      <w:r>
        <w:rPr>
          <w:color w:val="444444"/>
        </w:rPr>
        <w:t>MaiaEdge</w:t>
      </w:r>
      <w:proofErr w:type="spellEnd"/>
      <w:r>
        <w:rPr>
          <w:color w:val="444444"/>
        </w:rPr>
        <w:t xml:space="preserve"> removes that friction with a physical Path Border Controller (PBC) that stitches private paths between </w:t>
      </w:r>
      <w:proofErr w:type="spellStart"/>
      <w:r>
        <w:rPr>
          <w:color w:val="444444"/>
        </w:rPr>
        <w:t>Cirrascale</w:t>
      </w:r>
      <w:proofErr w:type="spellEnd"/>
      <w:r>
        <w:rPr>
          <w:color w:val="444444"/>
        </w:rPr>
        <w:t xml:space="preserve"> clusters and AWS or Azure via Direct Connect or </w:t>
      </w:r>
      <w:proofErr w:type="gramStart"/>
      <w:r>
        <w:rPr>
          <w:color w:val="444444"/>
        </w:rPr>
        <w:t>ExpressRoute, and</w:t>
      </w:r>
      <w:proofErr w:type="gramEnd"/>
      <w:r>
        <w:rPr>
          <w:color w:val="444444"/>
        </w:rPr>
        <w:t xml:space="preserve"> extends reach to enterprise customers over any available transport.</w:t>
      </w:r>
    </w:p>
    <w:p w14:paraId="017FC62B" w14:textId="77777777" w:rsidR="00127658" w:rsidRDefault="00127658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161"/>
        <w:gridCol w:w="3013"/>
        <w:gridCol w:w="161"/>
        <w:gridCol w:w="3013"/>
      </w:tblGrid>
      <w:tr w:rsidR="00127658" w14:paraId="0638F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E2041D" w14:textId="77777777" w:rsidR="00127658" w:rsidRDefault="00000000">
            <w:pPr>
              <w:jc w:val="center"/>
            </w:pPr>
            <w:r>
              <w:rPr>
                <w:b/>
                <w:bCs/>
                <w:color w:val="F7941D"/>
                <w:sz w:val="56"/>
                <w:szCs w:val="56"/>
              </w:rPr>
              <w:t>78%</w:t>
            </w:r>
          </w:p>
          <w:p w14:paraId="02C491A0" w14:textId="77777777" w:rsidR="00127658" w:rsidRDefault="00000000">
            <w:pPr>
              <w:spacing w:before="40"/>
              <w:jc w:val="center"/>
            </w:pPr>
            <w:r>
              <w:rPr>
                <w:b/>
                <w:bCs/>
                <w:color w:val="231F20"/>
                <w:sz w:val="18"/>
                <w:szCs w:val="18"/>
              </w:rPr>
              <w:t>Transfer cost reduction</w:t>
            </w:r>
          </w:p>
          <w:p w14:paraId="4A1351DF" w14:textId="77777777" w:rsidR="00127658" w:rsidRDefault="00000000">
            <w:pPr>
              <w:spacing w:before="20"/>
              <w:jc w:val="center"/>
            </w:pPr>
            <w:r>
              <w:rPr>
                <w:color w:val="777777"/>
                <w:sz w:val="16"/>
                <w:szCs w:val="16"/>
              </w:rPr>
              <w:t>Public internet → Direct Connect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238B6AF" w14:textId="77777777" w:rsidR="00127658" w:rsidRDefault="0012765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C5487E" w14:textId="77777777" w:rsidR="00127658" w:rsidRDefault="00000000">
            <w:pPr>
              <w:jc w:val="center"/>
            </w:pPr>
            <w:r>
              <w:rPr>
                <w:b/>
                <w:bCs/>
                <w:color w:val="F7941D"/>
                <w:sz w:val="56"/>
                <w:szCs w:val="56"/>
              </w:rPr>
              <w:t>53%</w:t>
            </w:r>
          </w:p>
          <w:p w14:paraId="0F7AD95A" w14:textId="77777777" w:rsidR="00127658" w:rsidRDefault="00000000">
            <w:pPr>
              <w:spacing w:before="40"/>
              <w:jc w:val="center"/>
            </w:pPr>
            <w:r>
              <w:rPr>
                <w:b/>
                <w:bCs/>
                <w:color w:val="231F20"/>
                <w:sz w:val="18"/>
                <w:szCs w:val="18"/>
              </w:rPr>
              <w:t>TCO reduction via DIA</w:t>
            </w:r>
          </w:p>
          <w:p w14:paraId="76F1016C" w14:textId="77777777" w:rsidR="00127658" w:rsidRDefault="00000000">
            <w:pPr>
              <w:spacing w:before="20"/>
              <w:jc w:val="center"/>
            </w:pPr>
            <w:r>
              <w:rPr>
                <w:color w:val="777777"/>
                <w:sz w:val="16"/>
                <w:szCs w:val="16"/>
              </w:rPr>
              <w:t>vs. dedicated L2 service (ACG Research)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D08120" w14:textId="77777777" w:rsidR="00127658" w:rsidRDefault="0012765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F669E3" w14:textId="77777777" w:rsidR="00127658" w:rsidRDefault="00000000">
            <w:pPr>
              <w:jc w:val="center"/>
            </w:pPr>
            <w:r>
              <w:rPr>
                <w:b/>
                <w:bCs/>
                <w:color w:val="F7941D"/>
                <w:sz w:val="56"/>
                <w:szCs w:val="56"/>
              </w:rPr>
              <w:t>85%</w:t>
            </w:r>
          </w:p>
          <w:p w14:paraId="23490B53" w14:textId="77777777" w:rsidR="00127658" w:rsidRDefault="00000000">
            <w:pPr>
              <w:spacing w:before="40"/>
              <w:jc w:val="center"/>
            </w:pPr>
            <w:r>
              <w:rPr>
                <w:b/>
                <w:bCs/>
                <w:color w:val="231F20"/>
                <w:sz w:val="18"/>
                <w:szCs w:val="18"/>
              </w:rPr>
              <w:t>Provisioning labor savings</w:t>
            </w:r>
          </w:p>
          <w:p w14:paraId="44442B2C" w14:textId="77777777" w:rsidR="00127658" w:rsidRDefault="00000000">
            <w:pPr>
              <w:spacing w:before="20"/>
              <w:jc w:val="center"/>
            </w:pPr>
            <w:r>
              <w:rPr>
                <w:color w:val="777777"/>
                <w:sz w:val="16"/>
                <w:szCs w:val="16"/>
              </w:rPr>
              <w:t>Automated path setup vs. manual</w:t>
            </w:r>
          </w:p>
        </w:tc>
      </w:tr>
    </w:tbl>
    <w:p w14:paraId="535EC1D2" w14:textId="77777777" w:rsidR="00127658" w:rsidRDefault="00127658">
      <w:pPr>
        <w:spacing w:line="120" w:lineRule="auto"/>
      </w:pPr>
    </w:p>
    <w:p w14:paraId="753E67DB" w14:textId="77777777" w:rsidR="00127658" w:rsidRDefault="00000000">
      <w:pPr>
        <w:pBdr>
          <w:bottom w:val="single" w:sz="8" w:space="4" w:color="F7941D"/>
        </w:pBdr>
        <w:spacing w:before="220" w:after="80"/>
      </w:pPr>
      <w:r>
        <w:rPr>
          <w:b/>
          <w:bCs/>
          <w:color w:val="231F20"/>
          <w:sz w:val="22"/>
          <w:szCs w:val="22"/>
        </w:rPr>
        <w:t>USE CASE 1: HYBRID CLOUD BRIDGE (AWS + CIRRASCALE)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7658" w14:paraId="7019D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7F7F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76234334" w14:textId="77777777" w:rsidR="00127658" w:rsidRDefault="00000000">
            <w:pPr>
              <w:spacing w:after="60"/>
            </w:pPr>
            <w:proofErr w:type="gramStart"/>
            <w:r>
              <w:rPr>
                <w:b/>
                <w:bCs/>
                <w:color w:val="F7941D"/>
                <w:sz w:val="22"/>
                <w:szCs w:val="22"/>
              </w:rPr>
              <w:t xml:space="preserve">01  </w:t>
            </w:r>
            <w:r>
              <w:rPr>
                <w:b/>
                <w:bCs/>
                <w:color w:val="231F20"/>
                <w:sz w:val="22"/>
                <w:szCs w:val="22"/>
              </w:rPr>
              <w:t>Move</w:t>
            </w:r>
            <w:proofErr w:type="gramEnd"/>
            <w:r>
              <w:rPr>
                <w:b/>
                <w:bCs/>
                <w:color w:val="231F20"/>
                <w:sz w:val="22"/>
                <w:szCs w:val="22"/>
              </w:rPr>
              <w:t xml:space="preserve"> workloads from AWS to bare metal without cutting the cloud relationship</w:t>
            </w:r>
          </w:p>
          <w:p w14:paraId="41D60B77" w14:textId="77777777" w:rsidR="00127658" w:rsidRDefault="00000000">
            <w:pPr>
              <w:spacing w:after="6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Problem: </w:t>
            </w:r>
            <w:r>
              <w:rPr>
                <w:color w:val="555555"/>
                <w:sz w:val="19"/>
                <w:szCs w:val="19"/>
              </w:rPr>
              <w:t xml:space="preserve">AI startups training models in AWS want to shift inference or fine-tuning to </w:t>
            </w:r>
            <w:proofErr w:type="spellStart"/>
            <w:r>
              <w:rPr>
                <w:color w:val="555555"/>
                <w:sz w:val="19"/>
                <w:szCs w:val="19"/>
              </w:rPr>
              <w:t>Cirrascale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for cost and </w:t>
            </w:r>
            <w:proofErr w:type="gramStart"/>
            <w:r>
              <w:rPr>
                <w:color w:val="555555"/>
                <w:sz w:val="19"/>
                <w:szCs w:val="19"/>
              </w:rPr>
              <w:t>control, but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cannot afford to sever their cloud dependency. Moving data over the public internet costs $0.09/GB in AWS egress. For a lab moving 50TB/month, that is $4,500 per month in transfer costs alone.</w:t>
            </w:r>
          </w:p>
          <w:p w14:paraId="4B82AB86" w14:textId="77777777" w:rsidR="00127658" w:rsidRDefault="00000000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MaiaEdge</w:t>
            </w:r>
            <w:proofErr w:type="spellEnd"/>
            <w:r>
              <w:rPr>
                <w:b/>
                <w:bCs/>
                <w:color w:val="555555"/>
                <w:sz w:val="19"/>
                <w:szCs w:val="19"/>
              </w:rPr>
              <w:t xml:space="preserve">: </w:t>
            </w:r>
            <w:r>
              <w:rPr>
                <w:color w:val="555555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555555"/>
                <w:sz w:val="19"/>
                <w:szCs w:val="19"/>
              </w:rPr>
              <w:t>MaiaEdge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PBC at the </w:t>
            </w:r>
            <w:proofErr w:type="spellStart"/>
            <w:r>
              <w:rPr>
                <w:color w:val="555555"/>
                <w:sz w:val="19"/>
                <w:szCs w:val="19"/>
              </w:rPr>
              <w:t>Cirrascale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cluster edge stitches a private path through AWS Direct Connect. Egress drops from $0.09 to $0.02/GB (78% reduction). The customer sees a single pane of glass across both environments. No VPN. No NAT hairpin. No VM-based router in the cloud.</w:t>
            </w:r>
          </w:p>
          <w:p w14:paraId="6EFAFE9B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 xml:space="preserve">50TB/month </w:t>
            </w:r>
            <w:proofErr w:type="gramStart"/>
            <w:r>
              <w:rPr>
                <w:color w:val="444444"/>
                <w:sz w:val="19"/>
                <w:szCs w:val="19"/>
              </w:rPr>
              <w:t>workload: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saves ~$3,500/month ($42K/year) in AWS egress alone</w:t>
            </w:r>
          </w:p>
          <w:p w14:paraId="2E0672BA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proofErr w:type="spellStart"/>
            <w:r>
              <w:rPr>
                <w:color w:val="444444"/>
                <w:sz w:val="19"/>
                <w:szCs w:val="19"/>
              </w:rPr>
              <w:t>Cirrascale's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no-ingress/egress policy compounds the savings versus staying on AWS</w:t>
            </w:r>
          </w:p>
          <w:p w14:paraId="486C0B22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 xml:space="preserve">Customer keeps existing AWS account and tooling; </w:t>
            </w:r>
            <w:proofErr w:type="spellStart"/>
            <w:r>
              <w:rPr>
                <w:color w:val="444444"/>
                <w:sz w:val="19"/>
                <w:szCs w:val="19"/>
              </w:rPr>
              <w:t>MaiaEdge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handles the bridge transparently</w:t>
            </w:r>
          </w:p>
          <w:p w14:paraId="73F3EEB7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 xml:space="preserve">Demo-ready: live path from AWS S3 or EC2 into a </w:t>
            </w:r>
            <w:proofErr w:type="spellStart"/>
            <w:r>
              <w:rPr>
                <w:color w:val="444444"/>
                <w:sz w:val="19"/>
                <w:szCs w:val="19"/>
              </w:rPr>
              <w:t>Cirrascale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VM, cost delta visible in real time</w:t>
            </w:r>
          </w:p>
        </w:tc>
      </w:tr>
    </w:tbl>
    <w:p w14:paraId="2AE97308" w14:textId="77777777" w:rsidR="00127658" w:rsidRDefault="00127658">
      <w:pPr>
        <w:spacing w:line="120" w:lineRule="auto"/>
      </w:pPr>
    </w:p>
    <w:p w14:paraId="58EEC2CF" w14:textId="77777777" w:rsidR="00127658" w:rsidRDefault="00000000">
      <w:pPr>
        <w:pBdr>
          <w:bottom w:val="single" w:sz="8" w:space="4" w:color="F7941D"/>
        </w:pBdr>
        <w:spacing w:before="220" w:after="80"/>
      </w:pPr>
      <w:r>
        <w:rPr>
          <w:b/>
          <w:bCs/>
          <w:color w:val="231F20"/>
          <w:sz w:val="22"/>
          <w:szCs w:val="22"/>
        </w:rPr>
        <w:t>USE CASE 2: ENTERPRISE ACCESS VIA 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7658" w14:paraId="1B4B3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7F7F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5AB47549" w14:textId="77777777" w:rsidR="00127658" w:rsidRDefault="00000000">
            <w:pPr>
              <w:spacing w:after="60"/>
            </w:pPr>
            <w:proofErr w:type="gramStart"/>
            <w:r>
              <w:rPr>
                <w:b/>
                <w:bCs/>
                <w:color w:val="F7941D"/>
                <w:sz w:val="22"/>
                <w:szCs w:val="22"/>
              </w:rPr>
              <w:t xml:space="preserve">02  </w:t>
            </w:r>
            <w:r>
              <w:rPr>
                <w:b/>
                <w:bCs/>
                <w:color w:val="231F20"/>
                <w:sz w:val="22"/>
                <w:szCs w:val="22"/>
              </w:rPr>
              <w:t>Connect</w:t>
            </w:r>
            <w:proofErr w:type="gramEnd"/>
            <w:r>
              <w:rPr>
                <w:b/>
                <w:bCs/>
                <w:color w:val="231F20"/>
                <w:sz w:val="22"/>
                <w:szCs w:val="22"/>
              </w:rPr>
              <w:t xml:space="preserve"> enterprise customers before fiber arrives</w:t>
            </w:r>
          </w:p>
          <w:p w14:paraId="5804558C" w14:textId="77777777" w:rsidR="00127658" w:rsidRDefault="00000000">
            <w:pPr>
              <w:spacing w:after="6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Problem: </w:t>
            </w:r>
            <w:r>
              <w:rPr>
                <w:color w:val="555555"/>
                <w:sz w:val="19"/>
                <w:szCs w:val="19"/>
              </w:rPr>
              <w:t xml:space="preserve">Enterprise accounts are beginning to evaluate alternatives to </w:t>
            </w:r>
            <w:proofErr w:type="spellStart"/>
            <w:r>
              <w:rPr>
                <w:color w:val="555555"/>
                <w:sz w:val="19"/>
                <w:szCs w:val="19"/>
              </w:rPr>
              <w:t>hyperscalers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but they cannot wait 60 to 90 days for dedicated fiber provisioning to a </w:t>
            </w:r>
            <w:proofErr w:type="spellStart"/>
            <w:r>
              <w:rPr>
                <w:color w:val="555555"/>
                <w:sz w:val="19"/>
                <w:szCs w:val="19"/>
              </w:rPr>
              <w:t>Cirrascale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data center. Legacy VPN options introduce latency and throughput limits that are incompatible with GPU inference workloads.</w:t>
            </w:r>
          </w:p>
          <w:p w14:paraId="3952C882" w14:textId="77777777" w:rsidR="00127658" w:rsidRDefault="00000000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t>MaiaEdge</w:t>
            </w:r>
            <w:proofErr w:type="spellEnd"/>
            <w:r>
              <w:rPr>
                <w:b/>
                <w:bCs/>
                <w:color w:val="555555"/>
                <w:sz w:val="19"/>
                <w:szCs w:val="19"/>
              </w:rPr>
              <w:t xml:space="preserve">: </w:t>
            </w:r>
            <w:r>
              <w:rPr>
                <w:color w:val="555555"/>
                <w:sz w:val="19"/>
                <w:szCs w:val="19"/>
              </w:rPr>
              <w:t xml:space="preserve">A small </w:t>
            </w:r>
            <w:proofErr w:type="spellStart"/>
            <w:r>
              <w:rPr>
                <w:color w:val="555555"/>
                <w:sz w:val="19"/>
                <w:szCs w:val="19"/>
              </w:rPr>
              <w:t>MaiaEdge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PBC at the enterprise edge connects over any available DIA circuit, encrypted end-to-end with AES-256 GCM. ACG Research models a 53% TCO reduction versus dedicated L2 service delivery on comparable routes. </w:t>
            </w:r>
            <w:proofErr w:type="spellStart"/>
            <w:r>
              <w:rPr>
                <w:color w:val="555555"/>
                <w:sz w:val="19"/>
                <w:szCs w:val="19"/>
              </w:rPr>
              <w:t>Cirrascale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can offer this as a connectivity SKU and charge a premium for the managed path.</w:t>
            </w:r>
          </w:p>
          <w:p w14:paraId="37E2E53D" w14:textId="3736F68E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 xml:space="preserve">Supports </w:t>
            </w:r>
            <w:r w:rsidR="003351B1">
              <w:rPr>
                <w:color w:val="444444"/>
                <w:sz w:val="19"/>
                <w:szCs w:val="19"/>
              </w:rPr>
              <w:t>1-</w:t>
            </w:r>
            <w:r>
              <w:rPr>
                <w:color w:val="444444"/>
                <w:sz w:val="19"/>
                <w:szCs w:val="19"/>
              </w:rPr>
              <w:t>100G throughput over commodity DIA; no specialized circuit required</w:t>
            </w:r>
          </w:p>
          <w:p w14:paraId="16812FFA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proofErr w:type="spellStart"/>
            <w:r>
              <w:rPr>
                <w:color w:val="444444"/>
                <w:sz w:val="19"/>
                <w:szCs w:val="19"/>
              </w:rPr>
              <w:t>Cirrascale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advertises connectivity across all data center locations from a </w:t>
            </w:r>
            <w:proofErr w:type="gramStart"/>
            <w:r>
              <w:rPr>
                <w:color w:val="444444"/>
                <w:sz w:val="19"/>
                <w:szCs w:val="19"/>
              </w:rPr>
              <w:t>single entry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point</w:t>
            </w:r>
          </w:p>
          <w:p w14:paraId="751A42FD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>Gives enterprises a low-friction on-ramp before committing to dedicated infrastructure</w:t>
            </w:r>
          </w:p>
          <w:p w14:paraId="0B88D475" w14:textId="77777777" w:rsidR="00127658" w:rsidRDefault="00000000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44444"/>
                <w:sz w:val="19"/>
                <w:szCs w:val="19"/>
              </w:rPr>
              <w:t xml:space="preserve">Builds </w:t>
            </w:r>
            <w:proofErr w:type="spellStart"/>
            <w:r>
              <w:rPr>
                <w:color w:val="444444"/>
                <w:sz w:val="19"/>
                <w:szCs w:val="19"/>
              </w:rPr>
              <w:t>Cirrascale's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differentiation against </w:t>
            </w:r>
            <w:proofErr w:type="spellStart"/>
            <w:r>
              <w:rPr>
                <w:color w:val="444444"/>
                <w:sz w:val="19"/>
                <w:szCs w:val="19"/>
              </w:rPr>
              <w:t>hyperscalers</w:t>
            </w:r>
            <w:proofErr w:type="spellEnd"/>
            <w:r>
              <w:rPr>
                <w:color w:val="444444"/>
                <w:sz w:val="19"/>
                <w:szCs w:val="19"/>
              </w:rPr>
              <w:t>: private, dedicated, and reachable</w:t>
            </w:r>
          </w:p>
        </w:tc>
      </w:tr>
    </w:tbl>
    <w:p w14:paraId="2FDF9D7F" w14:textId="77777777" w:rsidR="00127658" w:rsidRDefault="00127658">
      <w:pPr>
        <w:spacing w:line="120" w:lineRule="auto"/>
      </w:pPr>
    </w:p>
    <w:p w14:paraId="30A9DDCA" w14:textId="77777777" w:rsidR="00127658" w:rsidRDefault="00000000">
      <w:pPr>
        <w:pBdr>
          <w:bottom w:val="single" w:sz="8" w:space="4" w:color="F7941D"/>
        </w:pBdr>
        <w:spacing w:before="220" w:after="80"/>
      </w:pPr>
      <w:r>
        <w:rPr>
          <w:b/>
          <w:bCs/>
          <w:color w:val="231F20"/>
          <w:sz w:val="22"/>
          <w:szCs w:val="22"/>
        </w:rPr>
        <w:t>PRICING AND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7658" w14:paraId="28A8FE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AE6140" w14:textId="77777777" w:rsidR="00127658" w:rsidRDefault="00000000">
            <w:r>
              <w:rPr>
                <w:b/>
                <w:bCs/>
                <w:color w:val="FFFFFF"/>
              </w:rPr>
              <w:lastRenderedPageBreak/>
              <w:t>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1F2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5D068" w14:textId="77777777" w:rsidR="0012765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27658" w14:paraId="2C404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4689B9" w14:textId="77777777" w:rsidR="00127658" w:rsidRDefault="00000000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E80D0" w14:textId="77777777" w:rsidR="00127658" w:rsidRDefault="00000000">
            <w:r>
              <w:rPr>
                <w:sz w:val="19"/>
                <w:szCs w:val="19"/>
              </w:rPr>
              <w:t>Physical PBC placed at cluster edge (1RU)</w:t>
            </w:r>
          </w:p>
        </w:tc>
      </w:tr>
      <w:tr w:rsidR="00127658" w14:paraId="2A1CFD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06EB0" w14:textId="77777777" w:rsidR="00127658" w:rsidRDefault="00000000">
            <w:r>
              <w:rPr>
                <w:sz w:val="19"/>
                <w:szCs w:val="19"/>
              </w:rPr>
              <w:t>License terms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32C07" w14:textId="77777777" w:rsidR="00127658" w:rsidRDefault="00000000">
            <w:r>
              <w:rPr>
                <w:sz w:val="19"/>
                <w:szCs w:val="19"/>
              </w:rPr>
              <w:t xml:space="preserve">1, 3, or 5 </w:t>
            </w:r>
            <w:proofErr w:type="gramStart"/>
            <w:r>
              <w:rPr>
                <w:sz w:val="19"/>
                <w:szCs w:val="19"/>
              </w:rPr>
              <w:t>year</w:t>
            </w:r>
            <w:proofErr w:type="gramEnd"/>
            <w:r>
              <w:rPr>
                <w:sz w:val="19"/>
                <w:szCs w:val="19"/>
              </w:rPr>
              <w:t>; monthly invoicing available</w:t>
            </w:r>
          </w:p>
        </w:tc>
      </w:tr>
      <w:tr w:rsidR="00127658" w14:paraId="0EFD5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34C96" w14:textId="77777777" w:rsidR="00127658" w:rsidRDefault="00000000">
            <w:r>
              <w:rPr>
                <w:sz w:val="19"/>
                <w:szCs w:val="19"/>
              </w:rPr>
              <w:t>Pricing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DF85A" w14:textId="77777777" w:rsidR="00127658" w:rsidRDefault="00000000">
            <w:r>
              <w:rPr>
                <w:sz w:val="19"/>
                <w:szCs w:val="19"/>
              </w:rPr>
              <w:t>All-inclusive monthly; no per-feature charges</w:t>
            </w:r>
          </w:p>
        </w:tc>
      </w:tr>
      <w:tr w:rsidR="00127658" w14:paraId="05C1BB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E42EA" w14:textId="77777777" w:rsidR="00127658" w:rsidRDefault="00000000">
            <w:r>
              <w:rPr>
                <w:sz w:val="19"/>
                <w:szCs w:val="19"/>
              </w:rPr>
              <w:t>Cloud integrations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9DAF4" w14:textId="77777777" w:rsidR="00127658" w:rsidRDefault="00000000">
            <w:r>
              <w:rPr>
                <w:sz w:val="19"/>
                <w:szCs w:val="19"/>
              </w:rPr>
              <w:t>AWS Direct Connect, Azure ExpressRoute, Equinix</w:t>
            </w:r>
          </w:p>
        </w:tc>
      </w:tr>
    </w:tbl>
    <w:p w14:paraId="7445D6AF" w14:textId="77777777" w:rsidR="00127658" w:rsidRDefault="00127658">
      <w:pPr>
        <w:spacing w:line="120" w:lineRule="auto"/>
      </w:pPr>
    </w:p>
    <w:p w14:paraId="3649E113" w14:textId="77777777" w:rsidR="00127658" w:rsidRDefault="00000000">
      <w:pPr>
        <w:pBdr>
          <w:bottom w:val="single" w:sz="8" w:space="4" w:color="F7941D"/>
        </w:pBdr>
        <w:spacing w:before="220" w:after="80"/>
      </w:pPr>
      <w:r>
        <w:rPr>
          <w:b/>
          <w:bCs/>
          <w:color w:val="231F20"/>
          <w:sz w:val="22"/>
          <w:szCs w:val="22"/>
        </w:rPr>
        <w:t>SUGGESTED NEXT STEP</w:t>
      </w:r>
    </w:p>
    <w:p w14:paraId="4B4C6626" w14:textId="77777777" w:rsidR="00127658" w:rsidRDefault="00000000">
      <w:pPr>
        <w:spacing w:before="60" w:after="60"/>
      </w:pPr>
      <w:r>
        <w:rPr>
          <w:color w:val="444444"/>
        </w:rPr>
        <w:t xml:space="preserve">Live demo: transfer a workload from AWS into a </w:t>
      </w:r>
      <w:proofErr w:type="spellStart"/>
      <w:r>
        <w:rPr>
          <w:color w:val="444444"/>
        </w:rPr>
        <w:t>Cirrascale</w:t>
      </w:r>
      <w:proofErr w:type="spellEnd"/>
      <w:r>
        <w:rPr>
          <w:color w:val="444444"/>
        </w:rPr>
        <w:t xml:space="preserve"> VM using a Direct Connect path provisioned by </w:t>
      </w:r>
      <w:proofErr w:type="spellStart"/>
      <w:r>
        <w:rPr>
          <w:color w:val="444444"/>
        </w:rPr>
        <w:t>MaiaEdge</w:t>
      </w:r>
      <w:proofErr w:type="spellEnd"/>
      <w:r>
        <w:rPr>
          <w:color w:val="444444"/>
        </w:rPr>
        <w:t>. We show the full egress cost delta in real time and demonstrate the single-pane-of-glass view across both environments. Estimated time: 45 minutes. We can scope the demo to match the specific partner requirement Al referenced (AWS-to-</w:t>
      </w:r>
      <w:proofErr w:type="spellStart"/>
      <w:r>
        <w:rPr>
          <w:color w:val="444444"/>
        </w:rPr>
        <w:t>Cirrascale</w:t>
      </w:r>
      <w:proofErr w:type="spellEnd"/>
      <w:r>
        <w:rPr>
          <w:color w:val="444444"/>
        </w:rPr>
        <w:t xml:space="preserve"> data movement that surfaces through an AWS-native query interface).</w:t>
      </w:r>
    </w:p>
    <w:sectPr w:rsidR="00127658">
      <w:headerReference w:type="default" r:id="rId8"/>
      <w:footerReference w:type="default" r:id="rId9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0118" w14:textId="77777777" w:rsidR="007306D7" w:rsidRDefault="007306D7">
      <w:r>
        <w:separator/>
      </w:r>
    </w:p>
  </w:endnote>
  <w:endnote w:type="continuationSeparator" w:id="0">
    <w:p w14:paraId="0C222F35" w14:textId="77777777" w:rsidR="007306D7" w:rsidRDefault="00730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BC61" w14:textId="77777777" w:rsidR="00127658" w:rsidRDefault="00000000">
    <w:pPr>
      <w:pBdr>
        <w:top w:val="single" w:sz="4" w:space="4" w:color="CCCCCC"/>
      </w:pBdr>
      <w:tabs>
        <w:tab w:val="right" w:pos="9026"/>
      </w:tabs>
      <w:spacing w:before="80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maiaedge.io  |  June 2026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351B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DEA0" w14:textId="77777777" w:rsidR="007306D7" w:rsidRDefault="007306D7">
      <w:r>
        <w:separator/>
      </w:r>
    </w:p>
  </w:footnote>
  <w:footnote w:type="continuationSeparator" w:id="0">
    <w:p w14:paraId="680B15FC" w14:textId="77777777" w:rsidR="007306D7" w:rsidRDefault="00730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1172" w14:textId="77777777" w:rsidR="00127658" w:rsidRDefault="00000000">
    <w:pPr>
      <w:pBdr>
        <w:bottom w:val="single" w:sz="6" w:space="4" w:color="F7941D"/>
      </w:pBdr>
      <w:spacing w:after="100"/>
    </w:pPr>
    <w:r>
      <w:rPr>
        <w:i/>
        <w:iCs/>
        <w:color w:val="888888"/>
        <w:sz w:val="19"/>
        <w:szCs w:val="19"/>
      </w:rPr>
      <w:t xml:space="preserve">Economic Case for </w:t>
    </w:r>
    <w:proofErr w:type="spellStart"/>
    <w:r>
      <w:rPr>
        <w:i/>
        <w:iCs/>
        <w:color w:val="888888"/>
        <w:sz w:val="19"/>
        <w:szCs w:val="19"/>
      </w:rPr>
      <w:t>Cirrascale</w:t>
    </w:r>
    <w:proofErr w:type="spellEnd"/>
    <w:r>
      <w:rPr>
        <w:i/>
        <w:iCs/>
        <w:color w:val="888888"/>
        <w:sz w:val="19"/>
        <w:szCs w:val="19"/>
      </w:rPr>
      <w:t xml:space="preserve"> Cloud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705A"/>
    <w:multiLevelType w:val="hybridMultilevel"/>
    <w:tmpl w:val="FAD8FE6C"/>
    <w:lvl w:ilvl="0" w:tplc="051C59B2">
      <w:start w:val="1"/>
      <w:numFmt w:val="bullet"/>
      <w:lvlText w:val="•"/>
      <w:lvlJc w:val="left"/>
      <w:pPr>
        <w:ind w:left="360" w:hanging="200"/>
      </w:pPr>
    </w:lvl>
    <w:lvl w:ilvl="1" w:tplc="824C24B2">
      <w:numFmt w:val="decimal"/>
      <w:lvlText w:val=""/>
      <w:lvlJc w:val="left"/>
    </w:lvl>
    <w:lvl w:ilvl="2" w:tplc="1DF0D7FA">
      <w:numFmt w:val="decimal"/>
      <w:lvlText w:val=""/>
      <w:lvlJc w:val="left"/>
    </w:lvl>
    <w:lvl w:ilvl="3" w:tplc="25184B56">
      <w:numFmt w:val="decimal"/>
      <w:lvlText w:val=""/>
      <w:lvlJc w:val="left"/>
    </w:lvl>
    <w:lvl w:ilvl="4" w:tplc="75CC75F2">
      <w:numFmt w:val="decimal"/>
      <w:lvlText w:val=""/>
      <w:lvlJc w:val="left"/>
    </w:lvl>
    <w:lvl w:ilvl="5" w:tplc="4622D920">
      <w:numFmt w:val="decimal"/>
      <w:lvlText w:val=""/>
      <w:lvlJc w:val="left"/>
    </w:lvl>
    <w:lvl w:ilvl="6" w:tplc="5524AB74">
      <w:numFmt w:val="decimal"/>
      <w:lvlText w:val=""/>
      <w:lvlJc w:val="left"/>
    </w:lvl>
    <w:lvl w:ilvl="7" w:tplc="0B2E5194">
      <w:numFmt w:val="decimal"/>
      <w:lvlText w:val=""/>
      <w:lvlJc w:val="left"/>
    </w:lvl>
    <w:lvl w:ilvl="8" w:tplc="151E899E">
      <w:numFmt w:val="decimal"/>
      <w:lvlText w:val=""/>
      <w:lvlJc w:val="left"/>
    </w:lvl>
  </w:abstractNum>
  <w:abstractNum w:abstractNumId="1" w15:restartNumberingAfterBreak="0">
    <w:nsid w:val="6E4F2DDC"/>
    <w:multiLevelType w:val="hybridMultilevel"/>
    <w:tmpl w:val="1594266C"/>
    <w:lvl w:ilvl="0" w:tplc="7E96BB42">
      <w:start w:val="1"/>
      <w:numFmt w:val="bullet"/>
      <w:lvlText w:val="●"/>
      <w:lvlJc w:val="left"/>
      <w:pPr>
        <w:ind w:left="720" w:hanging="360"/>
      </w:pPr>
    </w:lvl>
    <w:lvl w:ilvl="1" w:tplc="7E8C493C">
      <w:start w:val="1"/>
      <w:numFmt w:val="bullet"/>
      <w:lvlText w:val="○"/>
      <w:lvlJc w:val="left"/>
      <w:pPr>
        <w:ind w:left="1440" w:hanging="360"/>
      </w:pPr>
    </w:lvl>
    <w:lvl w:ilvl="2" w:tplc="EE526F0C">
      <w:start w:val="1"/>
      <w:numFmt w:val="bullet"/>
      <w:lvlText w:val="■"/>
      <w:lvlJc w:val="left"/>
      <w:pPr>
        <w:ind w:left="2160" w:hanging="360"/>
      </w:pPr>
    </w:lvl>
    <w:lvl w:ilvl="3" w:tplc="B7C21374">
      <w:start w:val="1"/>
      <w:numFmt w:val="bullet"/>
      <w:lvlText w:val="●"/>
      <w:lvlJc w:val="left"/>
      <w:pPr>
        <w:ind w:left="2880" w:hanging="360"/>
      </w:pPr>
    </w:lvl>
    <w:lvl w:ilvl="4" w:tplc="BFE693A0">
      <w:start w:val="1"/>
      <w:numFmt w:val="bullet"/>
      <w:lvlText w:val="○"/>
      <w:lvlJc w:val="left"/>
      <w:pPr>
        <w:ind w:left="3600" w:hanging="360"/>
      </w:pPr>
    </w:lvl>
    <w:lvl w:ilvl="5" w:tplc="C3AC18D2">
      <w:start w:val="1"/>
      <w:numFmt w:val="bullet"/>
      <w:lvlText w:val="■"/>
      <w:lvlJc w:val="left"/>
      <w:pPr>
        <w:ind w:left="4320" w:hanging="360"/>
      </w:pPr>
    </w:lvl>
    <w:lvl w:ilvl="6" w:tplc="A8FAFF4A">
      <w:start w:val="1"/>
      <w:numFmt w:val="bullet"/>
      <w:lvlText w:val="●"/>
      <w:lvlJc w:val="left"/>
      <w:pPr>
        <w:ind w:left="5040" w:hanging="360"/>
      </w:pPr>
    </w:lvl>
    <w:lvl w:ilvl="7" w:tplc="3F24A14A">
      <w:start w:val="1"/>
      <w:numFmt w:val="bullet"/>
      <w:lvlText w:val="●"/>
      <w:lvlJc w:val="left"/>
      <w:pPr>
        <w:ind w:left="5760" w:hanging="360"/>
      </w:pPr>
    </w:lvl>
    <w:lvl w:ilvl="8" w:tplc="4008C2A8">
      <w:start w:val="1"/>
      <w:numFmt w:val="bullet"/>
      <w:lvlText w:val="●"/>
      <w:lvlJc w:val="left"/>
      <w:pPr>
        <w:ind w:left="6480" w:hanging="360"/>
      </w:pPr>
    </w:lvl>
  </w:abstractNum>
  <w:num w:numId="1" w16cid:durableId="1105418276">
    <w:abstractNumId w:val="1"/>
    <w:lvlOverride w:ilvl="0">
      <w:startOverride w:val="1"/>
    </w:lvlOverride>
  </w:num>
  <w:num w:numId="2" w16cid:durableId="1044982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658"/>
    <w:rsid w:val="00127658"/>
    <w:rsid w:val="001F752F"/>
    <w:rsid w:val="003351B1"/>
    <w:rsid w:val="0073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C4FD2"/>
  <w15:docId w15:val="{ED31B4C6-F37E-934C-B26F-B22C1A26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Ziemer</cp:lastModifiedBy>
  <cp:revision>2</cp:revision>
  <dcterms:created xsi:type="dcterms:W3CDTF">2026-06-20T14:18:00Z</dcterms:created>
  <dcterms:modified xsi:type="dcterms:W3CDTF">2026-06-20T14:18:00Z</dcterms:modified>
</cp:coreProperties>
</file>