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3A5C"/>
          <w:sz w:val="28"/>
          <w:szCs w:val="28"/>
        </w:rPr>
        <w:t xml:space="preserve">MaiaEdge, Inc.</w:t>
      </w:r>
    </w:p>
    <w:p>
      <w:pPr>
        <w:spacing w:after="80" w:before="0"/>
        <w:jc w:val="center"/>
      </w:pPr>
      <w:r>
        <w:rPr>
          <w:rFonts w:ascii="Arial" w:cs="Arial" w:eastAsia="Arial" w:hAnsi="Arial"/>
          <w:b/>
          <w:bCs/>
          <w:color w:val="1A3A5C"/>
          <w:sz w:val="32"/>
          <w:szCs w:val="32"/>
        </w:rPr>
        <w:t xml:space="preserve">2026 Sales Compensation Plan Amendment</w:t>
      </w:r>
    </w:p>
    <w:p>
      <w:pPr>
        <w:spacing w:after="60" w:before="0"/>
        <w:jc w:val="center"/>
      </w:pPr>
      <w:r>
        <w:rPr>
          <w:rFonts w:ascii="Arial" w:cs="Arial" w:eastAsia="Arial" w:hAnsi="Arial"/>
          <w:color w:val="555555"/>
          <w:sz w:val="24"/>
          <w:szCs w:val="24"/>
        </w:rPr>
        <w:t xml:space="preserve">Summary of Changes</w:t>
      </w:r>
    </w:p>
    <w:p>
      <w:pPr>
        <w:spacing w:after="60" w:before="0"/>
        <w:jc w:val="center"/>
      </w:pPr>
      <w:r>
        <w:rPr>
          <w:rFonts w:ascii="Arial" w:cs="Arial" w:eastAsia="Arial" w:hAnsi="Arial"/>
          <w:i/>
          <w:iCs/>
          <w:color w:val="555555"/>
          <w:sz w:val="22"/>
          <w:szCs w:val="22"/>
        </w:rPr>
        <w:t xml:space="preserve">Effective July 1, 2026</w:t>
      </w:r>
    </w:p>
    <w:p>
      <w:pPr>
        <w:spacing w:after="320" w:before="0"/>
        <w:jc w:val="center"/>
      </w:pPr>
      <w:r>
        <w:rPr>
          <w:rFonts w:ascii="Arial" w:cs="Arial" w:eastAsia="Arial" w:hAnsi="Arial"/>
          <w:i/>
          <w:iCs/>
          <w:color w:val="AAAAAA"/>
          <w:sz w:val="18"/>
          <w:szCs w:val="18"/>
        </w:rPr>
        <w:t xml:space="preserve">CONFIDENTIAL</w:t>
      </w:r>
    </w:p>
    <w:p>
      <w:pPr>
        <w:pStyle w:val="Heading1"/>
        <w:pBdr>
          <w:bottom w:val="single" w:color="D4A017" w:sz="6" w:space="4"/>
        </w:pBdr>
        <w:spacing w:after="140" w:before="320"/>
      </w:pPr>
      <w:r>
        <w:rPr>
          <w:rFonts w:ascii="Arial" w:cs="Arial" w:eastAsia="Arial" w:hAnsi="Arial"/>
          <w:b/>
          <w:bCs/>
          <w:color w:val="1A3A5C"/>
          <w:sz w:val="28"/>
          <w:szCs w:val="28"/>
        </w:rPr>
        <w:t xml:space="preserve">Overview</w:t>
      </w:r>
    </w:p>
    <w:p>
      <w:pPr>
        <w:spacing w:after="80" w:before="80"/>
      </w:pPr>
      <w:r>
        <w:rPr>
          <w:rFonts w:ascii="Arial" w:cs="Arial" w:eastAsia="Arial" w:hAnsi="Arial"/>
          <w:sz w:val="22"/>
          <w:szCs w:val="22"/>
        </w:rPr>
        <w:t xml:space="preserve">This document summarizes the amendment to the 2026 Sales Compensation Plans for Tim Lieto, Ken Cunningham, and Tory Teague, effective July 1, 2026. The amendment introduces two structural changes that apply consistently across all three plans:</w:t>
      </w:r>
    </w:p>
    <w:p>
      <w:pPr>
        <w:pStyle w:val="ListParagraph"/>
        <w:numPr>
          <w:ilvl w:val="0"/>
          <w:numId w:val="2"/>
        </w:numPr>
        <w:spacing w:after="40" w:before="40"/>
      </w:pPr>
      <w:r>
        <w:rPr>
          <w:rFonts w:ascii="Arial" w:cs="Arial" w:eastAsia="Arial" w:hAnsi="Arial"/>
          <w:sz w:val="22"/>
          <w:szCs w:val="22"/>
        </w:rPr>
        <w:t xml:space="preserve">Non-recoverable monthly draw covering H2 2026 (Jul 1 to Dec 31). Each representative receives a guaranteed monthly draw equal to 50% of his H2 variable target, paid in six equal installments. Draws are non-recoverable: the representative retains the full draw regardless of bookings, subject only to the December 31, 2026 employment requirement.</w:t>
      </w:r>
    </w:p>
    <w:p>
      <w:pPr>
        <w:pStyle w:val="ListParagraph"/>
        <w:numPr>
          <w:ilvl w:val="0"/>
          <w:numId w:val="2"/>
        </w:numPr>
        <w:spacing w:after="40" w:before="40"/>
      </w:pPr>
      <w:r>
        <w:rPr>
          <w:rFonts w:ascii="Arial" w:cs="Arial" w:eastAsia="Arial" w:hAnsi="Arial"/>
          <w:sz w:val="22"/>
          <w:szCs w:val="22"/>
        </w:rPr>
        <w:t xml:space="preserve">Flat per-dollar commission rate, calibrated so that 100% attainment of quota plus the H2 non-recoverable draw equals the representative's at-plan variable. The prior tiered schedule (full base rate to 100% of quota, decelerated above) is replaced with a single flat rate that applies to every qualifying ARR dollar. The non-recoverable draw and earned commissions are independent additive payments. There is no year-end netting between them.</w:t>
      </w:r>
    </w:p>
    <w:p>
      <w:pPr>
        <w:spacing w:after="80" w:before="80"/>
      </w:pPr>
      <w:r>
        <w:rPr>
          <w:rFonts w:ascii="Arial" w:cs="Arial" w:eastAsia="Arial" w:hAnsi="Arial"/>
          <w:sz w:val="22"/>
          <w:szCs w:val="22"/>
        </w:rPr>
        <w:t xml:space="preserve">In addition, Tim Lieto's plan incorporates a third change specific to his dual role as both a sales representative and Tory Teague's direct manager:</w:t>
      </w:r>
    </w:p>
    <w:p>
      <w:pPr>
        <w:pStyle w:val="ListParagraph"/>
        <w:numPr>
          <w:ilvl w:val="0"/>
          <w:numId w:val="2"/>
        </w:numPr>
        <w:spacing w:after="40" w:before="40"/>
      </w:pPr>
      <w:r>
        <w:rPr>
          <w:rFonts w:ascii="Arial" w:cs="Arial" w:eastAsia="Arial" w:hAnsi="Arial"/>
          <w:sz w:val="22"/>
          <w:szCs w:val="22"/>
        </w:rPr>
        <w:t xml:space="preserve">$350,000 of management overlay quota on Tory Teague's H2 bookings is baked into Tim Lieto's standing quota. Tim Lieto's total annual ARR quota increases from $1,700,000 to $2,050,000. The previous optional Tory Quota Option election is removed. Tim Lieto earns his flat base rate on every qualifying ARR dollar Tory Teague closes, uncapped.</w:t>
      </w:r>
    </w:p>
    <w:p>
      <w:pPr>
        <w:spacing w:after="80" w:before="80"/>
      </w:pPr>
      <w:r>
        <w:rPr>
          <w:rFonts w:ascii="Arial" w:cs="Arial" w:eastAsia="Arial" w:hAnsi="Arial"/>
          <w:sz w:val="22"/>
          <w:szCs w:val="22"/>
        </w:rPr>
        <w:t xml:space="preserve">This summary is the plain-English companion to the signed compensation plan documents (v2 files). In the event of any conflict between this summary and the signed plan documents, the plan documents control.</w:t>
      </w:r>
    </w:p>
    <w:p>
      <w:pPr>
        <w:pStyle w:val="Heading1"/>
        <w:pBdr>
          <w:bottom w:val="single" w:color="D4A017" w:sz="6" w:space="4"/>
        </w:pBdr>
        <w:spacing w:after="140" w:before="320"/>
      </w:pPr>
      <w:r>
        <w:rPr>
          <w:rFonts w:ascii="Arial" w:cs="Arial" w:eastAsia="Arial" w:hAnsi="Arial"/>
          <w:b/>
          <w:bCs/>
          <w:color w:val="1A3A5C"/>
          <w:sz w:val="28"/>
          <w:szCs w:val="28"/>
        </w:rPr>
        <w:t xml:space="preserve">Design Intent</w:t>
      </w:r>
    </w:p>
    <w:p>
      <w:pPr>
        <w:spacing w:after="80" w:before="80"/>
      </w:pPr>
      <w:r>
        <w:rPr>
          <w:rFonts w:ascii="Arial" w:cs="Arial" w:eastAsia="Arial" w:hAnsi="Arial"/>
          <w:sz w:val="22"/>
          <w:szCs w:val="22"/>
        </w:rPr>
        <w:t xml:space="preserve">The amendment collars downside risk and structures upside through a flat commission rate calibrated against post-draw variable:</w:t>
      </w:r>
    </w:p>
    <w:p>
      <w:pPr>
        <w:pStyle w:val="ListParagraph"/>
        <w:numPr>
          <w:ilvl w:val="0"/>
          <w:numId w:val="2"/>
        </w:numPr>
        <w:spacing w:after="40" w:before="40"/>
      </w:pPr>
      <w:r>
        <w:rPr>
          <w:rFonts w:ascii="Arial" w:cs="Arial" w:eastAsia="Arial" w:hAnsi="Arial"/>
          <w:sz w:val="22"/>
          <w:szCs w:val="22"/>
        </w:rPr>
        <w:t xml:space="preserve">Downside collar: the non-recoverable draw guarantees a minimum H2 payout regardless of bookings, subject only to the December 31, 2026 employment requirement.</w:t>
      </w:r>
    </w:p>
    <w:p>
      <w:pPr>
        <w:pStyle w:val="ListParagraph"/>
        <w:numPr>
          <w:ilvl w:val="0"/>
          <w:numId w:val="2"/>
        </w:numPr>
        <w:spacing w:after="40" w:before="40"/>
      </w:pPr>
      <w:r>
        <w:rPr>
          <w:rFonts w:ascii="Arial" w:cs="Arial" w:eastAsia="Arial" w:hAnsi="Arial"/>
          <w:sz w:val="22"/>
          <w:szCs w:val="22"/>
        </w:rPr>
        <w:t xml:space="preserve">Upside structure: the flat per-dollar commission rate replaces deceleration as the company's payout-shaping mechanism. At 100% of plan, draw plus commissions equal the at-plan variable target. Above 100%, the rep earns the flat base rate on every additional dollar with no decelerator; total comp continues to scale linearly above plan.</w:t>
      </w:r>
    </w:p>
    <w:p>
      <w:pPr>
        <w:pStyle w:val="ListParagraph"/>
        <w:numPr>
          <w:ilvl w:val="0"/>
          <w:numId w:val="2"/>
        </w:numPr>
        <w:spacing w:after="40" w:before="40"/>
      </w:pPr>
      <w:r>
        <w:rPr>
          <w:rFonts w:ascii="Arial" w:cs="Arial" w:eastAsia="Arial" w:hAnsi="Arial"/>
          <w:sz w:val="22"/>
          <w:szCs w:val="22"/>
        </w:rPr>
        <w:t xml:space="preserve">Manager overlay for Tim Lieto: the previously optional $350K Tory overlay election is now standing, simplifying the comp structure and aligning Tim Lieto's management role with the new RSM hire.</w:t>
      </w:r>
    </w:p>
    <w:p>
      <w:pPr>
        <w:pStyle w:val="Heading1"/>
        <w:pBdr>
          <w:bottom w:val="single" w:color="D4A017" w:sz="6" w:space="4"/>
        </w:pBdr>
        <w:spacing w:after="140" w:before="320"/>
      </w:pPr>
      <w:r>
        <w:rPr>
          <w:rFonts w:ascii="Arial" w:cs="Arial" w:eastAsia="Arial" w:hAnsi="Arial"/>
          <w:b/>
          <w:bCs/>
          <w:color w:val="1A3A5C"/>
          <w:sz w:val="28"/>
          <w:szCs w:val="28"/>
        </w:rPr>
        <w:t xml:space="preserve">Side-by-Side: All Three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Tim Lieto</w:t>
            </w:r>
          </w:p>
        </w:tc>
        <w:tc>
          <w:tcPr>
            <w:tcW w:type="dxa" w:w="2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Ken Cunningham</w:t>
            </w:r>
          </w:p>
        </w:tc>
        <w:tc>
          <w:tcPr>
            <w:tcW w:type="dxa" w:w="2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Tory Teague</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pPr>
            <w:r>
              <w:rPr>
                <w:rFonts w:ascii="Arial" w:cs="Arial" w:eastAsia="Arial" w:hAnsi="Arial"/>
                <w:b/>
                <w:bCs/>
                <w:color w:val="000000"/>
                <w:sz w:val="20"/>
                <w:szCs w:val="20"/>
              </w:rPr>
              <w:t xml:space="preserve">Role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AVP, NA Sales + Tory's manager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Sales Director, NA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Regional Sales Manager</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pPr>
            <w:r>
              <w:rPr>
                <w:rFonts w:ascii="Arial" w:cs="Arial" w:eastAsia="Arial" w:hAnsi="Arial"/>
                <w:b/>
                <w:bCs/>
                <w:color w:val="000000"/>
                <w:sz w:val="20"/>
                <w:szCs w:val="20"/>
              </w:rPr>
              <w:t xml:space="preserve">Territory</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East</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Accounts assigned by management</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TBD, reports to Tim Lieto</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pPr>
            <w:r>
              <w:rPr>
                <w:rFonts w:ascii="Arial" w:cs="Arial" w:eastAsia="Arial" w:hAnsi="Arial"/>
                <w:b/>
                <w:bCs/>
                <w:color w:val="000000"/>
                <w:sz w:val="20"/>
                <w:szCs w:val="20"/>
              </w:rPr>
              <w:t xml:space="preserve">Base Salary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$200,000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$170,500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$170,500</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pPr>
            <w:r>
              <w:rPr>
                <w:rFonts w:ascii="Arial" w:cs="Arial" w:eastAsia="Arial" w:hAnsi="Arial"/>
                <w:b/>
                <w:bCs/>
                <w:color w:val="000000"/>
                <w:sz w:val="20"/>
                <w:szCs w:val="20"/>
              </w:rPr>
              <w:t xml:space="preserve">Annual Variable at 100%</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$130,000</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$139,500</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$139,500 (H2 only: $69,750)</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pPr>
            <w:r>
              <w:rPr>
                <w:rFonts w:ascii="Arial" w:cs="Arial" w:eastAsia="Arial" w:hAnsi="Arial"/>
                <w:b/>
                <w:bCs/>
                <w:color w:val="000000"/>
                <w:sz w:val="20"/>
                <w:szCs w:val="20"/>
              </w:rPr>
              <w:t xml:space="preserve">OTE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$330,000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$310,000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$310,000 (H2 OTE: $154,750)</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pPr>
            <w:r>
              <w:rPr>
                <w:rFonts w:ascii="Arial" w:cs="Arial" w:eastAsia="Arial" w:hAnsi="Arial"/>
                <w:b/>
                <w:bCs/>
                <w:color w:val="000000"/>
                <w:sz w:val="20"/>
                <w:szCs w:val="20"/>
              </w:rPr>
              <w:t xml:space="preserve">Annual ARR Quota</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$2,050,000</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$1,700,000 (group with Tim)</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$750,000 (H2 only)</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pPr>
            <w:r>
              <w:rPr>
                <w:rFonts w:ascii="Arial" w:cs="Arial" w:eastAsia="Arial" w:hAnsi="Arial"/>
                <w:b/>
                <w:bCs/>
                <w:color w:val="000000"/>
                <w:sz w:val="20"/>
                <w:szCs w:val="20"/>
              </w:rPr>
              <w:t xml:space="preserve">Flat Commission Rate (new)</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4.76%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6.15%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4.65%</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pPr>
            <w:r>
              <w:rPr>
                <w:rFonts w:ascii="Arial" w:cs="Arial" w:eastAsia="Arial" w:hAnsi="Arial"/>
                <w:b/>
                <w:bCs/>
                <w:color w:val="000000"/>
                <w:sz w:val="20"/>
                <w:szCs w:val="20"/>
              </w:rPr>
              <w:t xml:space="preserve">Rate Basis</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($130K - $32.5K) / $2.05M</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($139.5K - $34.875K) / $1.7M</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($69.75K - $34.875K) / $750K</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pPr>
            <w:r>
              <w:rPr>
                <w:rFonts w:ascii="Arial" w:cs="Arial" w:eastAsia="Arial" w:hAnsi="Arial"/>
                <w:b/>
                <w:bCs/>
                <w:color w:val="000000"/>
                <w:sz w:val="20"/>
                <w:szCs w:val="20"/>
              </w:rPr>
              <w:t xml:space="preserve">Prior Rate to 100% (removed)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7.65%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8.21%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9.3%</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pPr>
            <w:r>
              <w:rPr>
                <w:rFonts w:ascii="Arial" w:cs="Arial" w:eastAsia="Arial" w:hAnsi="Arial"/>
                <w:b/>
                <w:bCs/>
                <w:color w:val="000000"/>
                <w:sz w:val="20"/>
                <w:szCs w:val="20"/>
              </w:rPr>
              <w:t xml:space="preserve">Prior Deceleration Rate (removed)</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6.12%</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6.57%</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7.44%</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pPr>
            <w:r>
              <w:rPr>
                <w:rFonts w:ascii="Arial" w:cs="Arial" w:eastAsia="Arial" w:hAnsi="Arial"/>
                <w:b/>
                <w:bCs/>
                <w:color w:val="000000"/>
                <w:sz w:val="20"/>
                <w:szCs w:val="20"/>
              </w:rPr>
              <w:t xml:space="preserve">H2 Non-Recoverable Draw (total)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$32,500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$34,875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$34,875</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pPr>
            <w:r>
              <w:rPr>
                <w:rFonts w:ascii="Arial" w:cs="Arial" w:eastAsia="Arial" w:hAnsi="Arial"/>
                <w:b/>
                <w:bCs/>
                <w:color w:val="000000"/>
                <w:sz w:val="20"/>
                <w:szCs w:val="20"/>
              </w:rPr>
              <w:t xml:space="preserve">Monthly Draw (Jul to Dec)</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$5,416.67</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$5,812.50</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$5,812.50</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pPr>
            <w:r>
              <w:rPr>
                <w:rFonts w:ascii="Arial" w:cs="Arial" w:eastAsia="Arial" w:hAnsi="Arial"/>
                <w:b/>
                <w:bCs/>
                <w:color w:val="000000"/>
                <w:sz w:val="20"/>
                <w:szCs w:val="20"/>
              </w:rPr>
              <w:t xml:space="preserve">Manager Overlay on Tory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Yes, baked in ($350K of $750K)</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No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n/a</w:t>
            </w:r>
          </w:p>
        </w:tc>
      </w:tr>
    </w:tbl>
    <w:p>
      <w:pPr>
        <w:pStyle w:val="Heading1"/>
        <w:pBdr>
          <w:bottom w:val="single" w:color="D4A017" w:sz="6" w:space="4"/>
        </w:pBdr>
        <w:spacing w:after="140" w:before="320"/>
      </w:pPr>
      <w:r>
        <w:rPr>
          <w:rFonts w:ascii="Arial" w:cs="Arial" w:eastAsia="Arial" w:hAnsi="Arial"/>
          <w:b/>
          <w:bCs/>
          <w:color w:val="1A3A5C"/>
          <w:sz w:val="28"/>
          <w:szCs w:val="28"/>
        </w:rPr>
        <w:t xml:space="preserve">Non-Recoverable Draw: Mechanics</w:t>
      </w:r>
    </w:p>
    <w:p>
      <w:pPr>
        <w:spacing w:after="80" w:before="200"/>
      </w:pPr>
      <w:r>
        <w:rPr>
          <w:rFonts w:ascii="Arial" w:cs="Arial" w:eastAsia="Arial" w:hAnsi="Arial"/>
          <w:b/>
          <w:bCs/>
          <w:color w:val="1A3A5C"/>
          <w:sz w:val="24"/>
          <w:szCs w:val="24"/>
        </w:rPr>
        <w:t xml:space="preserve">Calculation</w:t>
      </w:r>
    </w:p>
    <w:p>
      <w:pPr>
        <w:spacing w:after="80" w:before="80"/>
      </w:pPr>
      <w:r>
        <w:rPr>
          <w:rFonts w:ascii="Arial" w:cs="Arial" w:eastAsia="Arial" w:hAnsi="Arial"/>
          <w:sz w:val="22"/>
          <w:szCs w:val="22"/>
        </w:rPr>
        <w:t xml:space="preserve">Draw total = 50% of H2 variable at 100% attainment.</w:t>
      </w:r>
    </w:p>
    <w:p>
      <w:pPr>
        <w:spacing w:after="80" w:before="80"/>
      </w:pPr>
      <w:r>
        <w:rPr>
          <w:rFonts w:ascii="Arial" w:cs="Arial" w:eastAsia="Arial" w:hAnsi="Arial"/>
          <w:sz w:val="22"/>
          <w:szCs w:val="22"/>
        </w:rPr>
        <w:t xml:space="preserve">Tim Lieto: 50% of $65,000 = $32,500 total / $5,416.67 per month over six months.</w:t>
      </w:r>
    </w:p>
    <w:p>
      <w:pPr>
        <w:spacing w:after="80" w:before="80"/>
      </w:pPr>
      <w:r>
        <w:rPr>
          <w:rFonts w:ascii="Arial" w:cs="Arial" w:eastAsia="Arial" w:hAnsi="Arial"/>
          <w:sz w:val="22"/>
          <w:szCs w:val="22"/>
        </w:rPr>
        <w:t xml:space="preserve">Ken Cunningham: 50% of $69,750 = $34,875 total / $5,812.50 per month over six months.</w:t>
      </w:r>
    </w:p>
    <w:p>
      <w:pPr>
        <w:spacing w:after="80" w:before="80"/>
      </w:pPr>
      <w:r>
        <w:rPr>
          <w:rFonts w:ascii="Arial" w:cs="Arial" w:eastAsia="Arial" w:hAnsi="Arial"/>
          <w:sz w:val="22"/>
          <w:szCs w:val="22"/>
        </w:rPr>
        <w:t xml:space="preserve">Tory Teague: 50% of $69,750 = $34,875 total / $5,812.50 per month over six months.</w:t>
      </w:r>
    </w:p>
    <w:p>
      <w:pPr>
        <w:spacing w:after="80" w:before="200"/>
      </w:pPr>
      <w:r>
        <w:rPr>
          <w:rFonts w:ascii="Arial" w:cs="Arial" w:eastAsia="Arial" w:hAnsi="Arial"/>
          <w:b/>
          <w:bCs/>
          <w:color w:val="1A3A5C"/>
          <w:sz w:val="24"/>
          <w:szCs w:val="24"/>
        </w:rPr>
        <w:t xml:space="preserve">Pay Cadence</w:t>
      </w:r>
    </w:p>
    <w:p>
      <w:pPr>
        <w:spacing w:after="80" w:before="80"/>
      </w:pPr>
      <w:r>
        <w:rPr>
          <w:rFonts w:ascii="Arial" w:cs="Arial" w:eastAsia="Arial" w:hAnsi="Arial"/>
          <w:sz w:val="22"/>
          <w:szCs w:val="22"/>
        </w:rPr>
        <w:t xml:space="preserve">Six equal monthly installments paid alongside the regular commission cycle from July through December 2026.</w:t>
      </w:r>
    </w:p>
    <w:p>
      <w:pPr>
        <w:spacing w:after="80" w:before="200"/>
      </w:pPr>
      <w:r>
        <w:rPr>
          <w:rFonts w:ascii="Arial" w:cs="Arial" w:eastAsia="Arial" w:hAnsi="Arial"/>
          <w:b/>
          <w:bCs/>
          <w:color w:val="1A3A5C"/>
          <w:sz w:val="24"/>
          <w:szCs w:val="24"/>
        </w:rPr>
        <w:t xml:space="preserve">Non-Recoverable Nature</w:t>
      </w:r>
    </w:p>
    <w:p>
      <w:pPr>
        <w:spacing w:after="80" w:before="80"/>
      </w:pPr>
      <w:r>
        <w:rPr>
          <w:rFonts w:ascii="Arial" w:cs="Arial" w:eastAsia="Arial" w:hAnsi="Arial"/>
          <w:sz w:val="22"/>
          <w:szCs w:val="22"/>
        </w:rPr>
        <w:t xml:space="preserve">The representative retains the full draw regardless of earned commissions. No year-end clawback if commissions come in below expectations. The draw and earned commissions are independent additive payments: total H2 variable compensation equals the draw paid plus commissions earned at the flat base rate.</w:t>
      </w:r>
    </w:p>
    <w:p>
      <w:pPr>
        <w:spacing w:after="80" w:before="200"/>
      </w:pPr>
      <w:r>
        <w:rPr>
          <w:rFonts w:ascii="Arial" w:cs="Arial" w:eastAsia="Arial" w:hAnsi="Arial"/>
          <w:b/>
          <w:bCs/>
          <w:color w:val="1A3A5C"/>
          <w:sz w:val="24"/>
          <w:szCs w:val="24"/>
        </w:rPr>
        <w:t xml:space="preserve">Employment Requirement</w:t>
      </w:r>
    </w:p>
    <w:p>
      <w:pPr>
        <w:spacing w:after="80" w:before="80"/>
      </w:pPr>
      <w:r>
        <w:rPr>
          <w:rFonts w:ascii="Arial" w:cs="Arial" w:eastAsia="Arial" w:hAnsi="Arial"/>
          <w:sz w:val="22"/>
          <w:szCs w:val="22"/>
        </w:rPr>
        <w:t xml:space="preserve">Each monthly draw payment is earned only if the representative is actively employed and in good standing on December 31, 2026. A representative who separates from the Company prior to December 31, 2026 forfeits the draws paid during the H2 period, and the Company may recover those payments from final wages to the extent permitted by applicable law.</w:t>
      </w:r>
    </w:p>
    <w:p>
      <w:pPr>
        <w:spacing w:after="80" w:before="200"/>
      </w:pPr>
      <w:r>
        <w:rPr>
          <w:rFonts w:ascii="Arial" w:cs="Arial" w:eastAsia="Arial" w:hAnsi="Arial"/>
          <w:b/>
          <w:bCs/>
          <w:color w:val="1A3A5C"/>
          <w:sz w:val="24"/>
          <w:szCs w:val="24"/>
        </w:rPr>
        <w:t xml:space="preserve">Relationship to Existing Recoverable Draw</w:t>
      </w:r>
    </w:p>
    <w:p>
      <w:pPr>
        <w:spacing w:after="80" w:before="80"/>
      </w:pPr>
      <w:r>
        <w:rPr>
          <w:rFonts w:ascii="Arial" w:cs="Arial" w:eastAsia="Arial" w:hAnsi="Arial"/>
          <w:sz w:val="22"/>
          <w:szCs w:val="22"/>
        </w:rPr>
        <w:t xml:space="preserve">The non-recoverable monthly draw stands beside the existing 50/50 commission installment structure. The recoverable draw on the second installment (paid when the customer's first contracted payment is received) is unchanged. The two draw structures operate independently.</w:t>
      </w:r>
    </w:p>
    <w:p>
      <w:pPr>
        <w:pStyle w:val="Heading1"/>
        <w:pBdr>
          <w:bottom w:val="single" w:color="D4A017" w:sz="6" w:space="4"/>
        </w:pBdr>
        <w:spacing w:after="140" w:before="320"/>
      </w:pPr>
      <w:r>
        <w:rPr>
          <w:rFonts w:ascii="Arial" w:cs="Arial" w:eastAsia="Arial" w:hAnsi="Arial"/>
          <w:b/>
          <w:bCs/>
          <w:color w:val="1A3A5C"/>
          <w:sz w:val="28"/>
          <w:szCs w:val="28"/>
        </w:rPr>
        <w:t xml:space="preserve">Flat Commission Rate: Mechanics</w:t>
      </w:r>
    </w:p>
    <w:p>
      <w:pPr>
        <w:spacing w:after="80" w:before="200"/>
      </w:pPr>
      <w:r>
        <w:rPr>
          <w:rFonts w:ascii="Arial" w:cs="Arial" w:eastAsia="Arial" w:hAnsi="Arial"/>
          <w:b/>
          <w:bCs/>
          <w:color w:val="1A3A5C"/>
          <w:sz w:val="24"/>
          <w:szCs w:val="24"/>
        </w:rPr>
        <w:t xml:space="preserve">What Changed</w:t>
      </w:r>
    </w:p>
    <w:p>
      <w:pPr>
        <w:spacing w:after="80" w:before="80"/>
      </w:pPr>
      <w:r>
        <w:rPr>
          <w:rFonts w:ascii="Arial" w:cs="Arial" w:eastAsia="Arial" w:hAnsi="Arial"/>
          <w:sz w:val="22"/>
          <w:szCs w:val="22"/>
        </w:rPr>
        <w:t xml:space="preserve">Prior structure: full base rate from $0 through 100% of quota, decelerated to 80% of base above 100%.</w:t>
      </w:r>
    </w:p>
    <w:p>
      <w:pPr>
        <w:spacing w:after="80" w:before="80"/>
      </w:pPr>
      <w:r>
        <w:rPr>
          <w:rFonts w:ascii="Arial" w:cs="Arial" w:eastAsia="Arial" w:hAnsi="Arial"/>
          <w:sz w:val="22"/>
          <w:szCs w:val="22"/>
        </w:rPr>
        <w:t xml:space="preserve">New structure: flat per-dollar rate on every qualifying ARR dollar, no deceleration. The rate is calibrated using the post-draw variable: (Annual Variable at 100% minus H2 Non-Recoverable Draw) divided by Annual Quota. For Tory Teague the equivalent calibration uses H2 Variable and H2 Quota since the plan period is H2 only.</w:t>
      </w:r>
    </w:p>
    <w:p>
      <w:pPr>
        <w:spacing w:after="80" w:before="200"/>
      </w:pPr>
      <w:r>
        <w:rPr>
          <w:rFonts w:ascii="Arial" w:cs="Arial" w:eastAsia="Arial" w:hAnsi="Arial"/>
          <w:b/>
          <w:bCs/>
          <w:color w:val="1A3A5C"/>
          <w:sz w:val="24"/>
          <w:szCs w:val="24"/>
        </w:rPr>
        <w:t xml:space="preserve">At-Plan Outcome</w:t>
      </w:r>
    </w:p>
    <w:p>
      <w:pPr>
        <w:spacing w:after="80" w:before="80"/>
      </w:pPr>
      <w:r>
        <w:rPr>
          <w:rFonts w:ascii="Arial" w:cs="Arial" w:eastAsia="Arial" w:hAnsi="Arial"/>
          <w:sz w:val="22"/>
          <w:szCs w:val="22"/>
        </w:rPr>
        <w:t xml:space="preserve">Hitting 100% of quota produces total variable compensation equal to the at-plan variable target.</w:t>
      </w:r>
    </w:p>
    <w:p>
      <w:pPr>
        <w:spacing w:after="80" w:before="80"/>
      </w:pPr>
      <w:r>
        <w:rPr>
          <w:rFonts w:ascii="Arial" w:cs="Arial" w:eastAsia="Arial" w:hAnsi="Arial"/>
          <w:sz w:val="22"/>
          <w:szCs w:val="22"/>
        </w:rPr>
        <w:t xml:space="preserve">Tim: $32,500 (draw) + $97,500 (commission at 4.76% on $2.05M) = $130,000.</w:t>
      </w:r>
    </w:p>
    <w:p>
      <w:pPr>
        <w:spacing w:after="80" w:before="80"/>
      </w:pPr>
      <w:r>
        <w:rPr>
          <w:rFonts w:ascii="Arial" w:cs="Arial" w:eastAsia="Arial" w:hAnsi="Arial"/>
          <w:sz w:val="22"/>
          <w:szCs w:val="22"/>
        </w:rPr>
        <w:t xml:space="preserve">Ken: $34,875 (draw) + $104,625 (commission at 6.15% on $1.7M) = $139,500.</w:t>
      </w:r>
    </w:p>
    <w:p>
      <w:pPr>
        <w:spacing w:after="80" w:before="80"/>
      </w:pPr>
      <w:r>
        <w:rPr>
          <w:rFonts w:ascii="Arial" w:cs="Arial" w:eastAsia="Arial" w:hAnsi="Arial"/>
          <w:sz w:val="22"/>
          <w:szCs w:val="22"/>
        </w:rPr>
        <w:t xml:space="preserve">Tory: $34,875 (draw) + $34,875 (commission at 4.65% on $750K) = $69,750.</w:t>
      </w:r>
    </w:p>
    <w:p>
      <w:pPr>
        <w:spacing w:after="80" w:before="200"/>
      </w:pPr>
      <w:r>
        <w:rPr>
          <w:rFonts w:ascii="Arial" w:cs="Arial" w:eastAsia="Arial" w:hAnsi="Arial"/>
          <w:b/>
          <w:bCs/>
          <w:color w:val="1A3A5C"/>
          <w:sz w:val="24"/>
          <w:szCs w:val="24"/>
        </w:rPr>
        <w:t xml:space="preserve">Above-Plan Outcome</w:t>
      </w:r>
    </w:p>
    <w:p>
      <w:pPr>
        <w:spacing w:after="80" w:before="80"/>
      </w:pPr>
      <w:r>
        <w:rPr>
          <w:rFonts w:ascii="Arial" w:cs="Arial" w:eastAsia="Arial" w:hAnsi="Arial"/>
          <w:sz w:val="22"/>
          <w:szCs w:val="22"/>
        </w:rPr>
        <w:t xml:space="preserve">The flat rate continues to apply on every dollar above 100% of quota; there is no cap and no deceleration. The fixed draw means the upside multiplier (total variable comp / at-plan variable) compresses slightly relative to the prior plan, but uncapped upside is preserved.</w:t>
      </w:r>
    </w:p>
    <w:p>
      <w:pPr>
        <w:spacing w:after="80" w:before="200"/>
      </w:pPr>
      <w:r>
        <w:rPr>
          <w:rFonts w:ascii="Arial" w:cs="Arial" w:eastAsia="Arial" w:hAnsi="Arial"/>
          <w:b/>
          <w:bCs/>
          <w:color w:val="1A3A5C"/>
          <w:sz w:val="24"/>
          <w:szCs w:val="24"/>
        </w:rPr>
        <w:t xml:space="preserve">Why Remove Deceleration</w:t>
      </w:r>
    </w:p>
    <w:p>
      <w:pPr>
        <w:spacing w:after="80" w:before="80"/>
      </w:pPr>
      <w:r>
        <w:rPr>
          <w:rFonts w:ascii="Arial" w:cs="Arial" w:eastAsia="Arial" w:hAnsi="Arial"/>
          <w:sz w:val="22"/>
          <w:szCs w:val="22"/>
        </w:rPr>
        <w:t xml:space="preserve">The non-recoverable draw replaces deceleration as the company's mechanism for shaping H2 payout economics. The draw collars downside risk directly rather than reducing the rate above 100% of quota, which can be demotivating. Reps now see a single flat rate on every dollar with no rate cliff at attainment.</w:t>
      </w:r>
    </w:p>
    <w:p>
      <w:pPr>
        <w:pStyle w:val="Heading1"/>
        <w:pBdr>
          <w:bottom w:val="single" w:color="D4A017" w:sz="6" w:space="4"/>
        </w:pBdr>
        <w:spacing w:after="140" w:before="320"/>
      </w:pPr>
      <w:r>
        <w:rPr>
          <w:rFonts w:ascii="Arial" w:cs="Arial" w:eastAsia="Arial" w:hAnsi="Arial"/>
          <w:b/>
          <w:bCs/>
          <w:color w:val="1A3A5C"/>
          <w:sz w:val="28"/>
          <w:szCs w:val="28"/>
        </w:rPr>
        <w:t xml:space="preserve">H1 2026 Retroactive Reconciliation</w:t>
      </w:r>
    </w:p>
    <w:p>
      <w:pPr>
        <w:spacing w:after="80" w:before="80"/>
      </w:pPr>
      <w:r>
        <w:rPr>
          <w:rFonts w:ascii="Arial" w:cs="Arial" w:eastAsia="Arial" w:hAnsi="Arial"/>
          <w:sz w:val="22"/>
          <w:szCs w:val="22"/>
        </w:rPr>
        <w:t xml:space="preserve">Each plan provides that the new flat rate applies retroactively to all 2026 bookings. Because the new flat rate (4.76% for Tim, 6.15% for Ken) is lower than the prior base rate (7.65% for Tim, 8.21% for Ken), the retroactive application produces a downward adjustment to H1 commissions previously paid.</w:t>
      </w:r>
    </w:p>
    <w:p>
      <w:pPr>
        <w:spacing w:after="80" w:before="80"/>
      </w:pPr>
      <w:r>
        <w:rPr>
          <w:rFonts w:ascii="Arial" w:cs="Arial" w:eastAsia="Arial" w:hAnsi="Arial"/>
          <w:sz w:val="22"/>
          <w:szCs w:val="22"/>
        </w:rPr>
        <w:t xml:space="preserve">Tory Teague is not affected: his plan period is H2 only.</w:t>
      </w:r>
    </w:p>
    <w:p>
      <w:pPr>
        <w:spacing w:after="80" w:before="80"/>
      </w:pPr>
      <w:r>
        <w:rPr>
          <w:rFonts w:ascii="Arial" w:cs="Arial" w:eastAsia="Arial" w:hAnsi="Arial"/>
          <w:sz w:val="22"/>
          <w:szCs w:val="22"/>
        </w:rPr>
        <w:t xml:space="preserve">The plans provide that any commission adjustment from the retroactive application will be reconciled by offsetting against future monthly commission payments, with written notice to the representative. This mirrors the existing reconciliation mechanic in the Commission Payment Schedule and Recoverable Draw sections.</w:t>
      </w:r>
    </w:p>
    <w:p>
      <w:pPr>
        <w:spacing w:after="80" w:before="200"/>
      </w:pPr>
      <w:r>
        <w:rPr>
          <w:rFonts w:ascii="Arial" w:cs="Arial" w:eastAsia="Arial" w:hAnsi="Arial"/>
          <w:b/>
          <w:bCs/>
          <w:color w:val="1A3A5C"/>
          <w:sz w:val="24"/>
          <w:szCs w:val="24"/>
        </w:rPr>
        <w:t xml:space="preserve">Decision point for review</w:t>
      </w:r>
    </w:p>
    <w:p>
      <w:pPr>
        <w:spacing w:after="80" w:before="80"/>
      </w:pPr>
      <w:r>
        <w:rPr>
          <w:rFonts w:ascii="Arial" w:cs="Arial" w:eastAsia="Arial" w:hAnsi="Arial"/>
          <w:sz w:val="22"/>
          <w:szCs w:val="22"/>
        </w:rPr>
        <w:t xml:space="preserve">The retroactive application materially reduces H1 commissions already paid to Tim and Ken under the prior plan. If the chairman intends the new rate to apply only prospectively (to bookings dated July 1, 2026 or later), the retroactive language should be removed from both plans. Confirm whether to keep retroactive application or grandfather H1 at the prior rates.</w:t>
      </w:r>
    </w:p>
    <w:p>
      <w:pPr>
        <w:pStyle w:val="Heading1"/>
        <w:pBdr>
          <w:bottom w:val="single" w:color="D4A017" w:sz="6" w:space="4"/>
        </w:pBdr>
        <w:spacing w:after="140" w:before="320"/>
      </w:pPr>
      <w:r>
        <w:rPr>
          <w:rFonts w:ascii="Arial" w:cs="Arial" w:eastAsia="Arial" w:hAnsi="Arial"/>
          <w:b/>
          <w:bCs/>
          <w:color w:val="1A3A5C"/>
          <w:sz w:val="28"/>
          <w:szCs w:val="28"/>
        </w:rPr>
        <w:t xml:space="preserve">Worked Example: Tim Lieto Full-Year 2026</w:t>
      </w:r>
    </w:p>
    <w:p>
      <w:pPr>
        <w:spacing w:after="80" w:before="80"/>
      </w:pPr>
      <w:r>
        <w:rPr>
          <w:rFonts w:ascii="Arial" w:cs="Arial" w:eastAsia="Arial" w:hAnsi="Arial"/>
          <w:sz w:val="22"/>
          <w:szCs w:val="22"/>
        </w:rPr>
        <w:t xml:space="preserve">Assumes Tim Lieto remains employed and in good standing on December 31, 2026 (required for retention of the non-recoverable draw).</w:t>
      </w:r>
    </w:p>
    <w:p>
      <w:pPr>
        <w:spacing w:after="80" w:before="80"/>
      </w:pPr>
      <w:r>
        <w:rPr>
          <w:rFonts w:ascii="Arial" w:cs="Arial" w:eastAsia="Arial" w:hAnsi="Arial"/>
          <w:sz w:val="22"/>
          <w:szCs w:val="22"/>
        </w:rPr>
        <w:t xml:space="preserve">Variable target: $130,000. Flat commission rate: 4.76% on every qualifying ARR dollar from his own bookings and Tory Teague's bookings. Non-recoverable draw paid during H2: $32,500.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620"/>
        <w:gridCol w:w="1320"/>
        <w:gridCol w:w="1620"/>
      </w:tblGrid>
      <w:tr>
        <w:trPr>
          <w:tblHeader/>
        </w:trPr>
        <w:tc>
          <w:tcPr>
            <w:tcW w:type="dxa" w:w="1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5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Tim's own ARR closed</w:t>
            </w:r>
          </w:p>
        </w:tc>
        <w:tc>
          <w:tcPr>
            <w:tcW w:type="dxa" w:w="15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Tory's H2 ARR closed</w:t>
            </w:r>
          </w:p>
        </w:tc>
        <w:tc>
          <w:tcPr>
            <w:tcW w:type="dxa" w:w="162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Earned commission (4.76% flat)</w:t>
            </w:r>
          </w:p>
        </w:tc>
        <w:tc>
          <w:tcPr>
            <w:tcW w:type="dxa" w:w="132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Plus draw</w:t>
            </w:r>
          </w:p>
        </w:tc>
        <w:tc>
          <w:tcPr>
            <w:tcW w:type="dxa" w:w="162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Total variable comp</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pPr>
            <w:r>
              <w:rPr>
                <w:rFonts w:ascii="Arial" w:cs="Arial" w:eastAsia="Arial" w:hAnsi="Arial"/>
                <w:b/>
                <w:bCs/>
                <w:color w:val="000000"/>
                <w:sz w:val="20"/>
                <w:szCs w:val="20"/>
              </w:rPr>
              <w:t xml:space="preserve">Zero bookings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$0</w:t>
            </w:r>
          </w:p>
        </w:tc>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$0</w:t>
            </w:r>
          </w:p>
        </w:tc>
        <w:tc>
          <w:tcPr>
            <w:tcW w:type="dxa" w:w="1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$32,500</w:t>
            </w:r>
          </w:p>
        </w:tc>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$32,500 (draw only)</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pPr>
            <w:r>
              <w:rPr>
                <w:rFonts w:ascii="Arial" w:cs="Arial" w:eastAsia="Arial" w:hAnsi="Arial"/>
                <w:b/>
                <w:bCs/>
                <w:color w:val="000000"/>
                <w:sz w:val="20"/>
                <w:szCs w:val="20"/>
              </w:rPr>
              <w:t xml:space="preserve">Half plan</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$850K</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$175K</w:t>
            </w:r>
          </w:p>
        </w:tc>
        <w:tc>
          <w:tcPr>
            <w:tcW w:type="dxa" w:w="16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$48,790</w:t>
            </w:r>
          </w:p>
        </w:tc>
        <w:tc>
          <w:tcPr>
            <w:tcW w:type="dxa" w:w="13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$32,500</w:t>
            </w:r>
          </w:p>
        </w:tc>
        <w:tc>
          <w:tcPr>
            <w:tcW w:type="dxa" w:w="16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$81,290</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pPr>
            <w:r>
              <w:rPr>
                <w:rFonts w:ascii="Arial" w:cs="Arial" w:eastAsia="Arial" w:hAnsi="Arial"/>
                <w:b/>
                <w:bCs/>
                <w:color w:val="000000"/>
                <w:sz w:val="20"/>
                <w:szCs w:val="20"/>
              </w:rPr>
              <w:t xml:space="preserve">At plan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$1.7M</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$350K</w:t>
            </w:r>
          </w:p>
        </w:tc>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$97,580</w:t>
            </w:r>
          </w:p>
        </w:tc>
        <w:tc>
          <w:tcPr>
            <w:tcW w:type="dxa" w:w="1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$32,500</w:t>
            </w:r>
          </w:p>
        </w:tc>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$130,080</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pPr>
            <w:r>
              <w:rPr>
                <w:rFonts w:ascii="Arial" w:cs="Arial" w:eastAsia="Arial" w:hAnsi="Arial"/>
                <w:b/>
                <w:bCs/>
                <w:color w:val="000000"/>
                <w:sz w:val="20"/>
                <w:szCs w:val="20"/>
              </w:rPr>
              <w:t xml:space="preserve">Tory hits H2 quota, Tim at plan</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$1.7M</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$750K</w:t>
            </w:r>
          </w:p>
        </w:tc>
        <w:tc>
          <w:tcPr>
            <w:tcW w:type="dxa" w:w="16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$116,620</w:t>
            </w:r>
          </w:p>
        </w:tc>
        <w:tc>
          <w:tcPr>
            <w:tcW w:type="dxa" w:w="13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$32,500</w:t>
            </w:r>
          </w:p>
        </w:tc>
        <w:tc>
          <w:tcPr>
            <w:tcW w:type="dxa" w:w="162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$149,120</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pPr>
            <w:r>
              <w:rPr>
                <w:rFonts w:ascii="Arial" w:cs="Arial" w:eastAsia="Arial" w:hAnsi="Arial"/>
                <w:b/>
                <w:bCs/>
                <w:color w:val="000000"/>
                <w:sz w:val="20"/>
                <w:szCs w:val="20"/>
              </w:rPr>
              <w:t xml:space="preserve">150% individual + Tory at H2 quota</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$2.55M</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$750K</w:t>
            </w:r>
          </w:p>
        </w:tc>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$157,080</w:t>
            </w:r>
          </w:p>
        </w:tc>
        <w:tc>
          <w:tcPr>
            <w:tcW w:type="dxa" w:w="1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$32,500</w:t>
            </w:r>
          </w:p>
        </w:tc>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$189,580</w:t>
            </w:r>
          </w:p>
        </w:tc>
      </w:tr>
    </w:tbl>
    <w:p>
      <w:pPr>
        <w:spacing w:after="80" w:before="80"/>
      </w:pPr>
      <w:r>
        <w:rPr>
          <w:rFonts w:ascii="Arial" w:cs="Arial" w:eastAsia="Arial" w:hAnsi="Arial"/>
          <w:sz w:val="22"/>
          <w:szCs w:val="22"/>
        </w:rPr>
        <w:t xml:space="preserve">Numbers shown use the rounded 4.76% rate. Tim's signed plan document uses the precise rate of 4.7561% so that 100% attainment hits exactly $130,000 of variable compensation.</w:t>
      </w:r>
    </w:p>
    <w:p>
      <w:pPr>
        <w:pStyle w:val="Heading1"/>
        <w:pBdr>
          <w:bottom w:val="single" w:color="D4A017" w:sz="6" w:space="4"/>
        </w:pBdr>
        <w:spacing w:after="140" w:before="320"/>
      </w:pPr>
      <w:r>
        <w:rPr>
          <w:rFonts w:ascii="Arial" w:cs="Arial" w:eastAsia="Arial" w:hAnsi="Arial"/>
          <w:b/>
          <w:bCs/>
          <w:color w:val="1A3A5C"/>
          <w:sz w:val="28"/>
          <w:szCs w:val="28"/>
        </w:rPr>
        <w:t xml:space="preserve">Ratifying Actions Required</w:t>
      </w:r>
    </w:p>
    <w:p>
      <w:pPr>
        <w:pStyle w:val="ListParagraph"/>
        <w:numPr>
          <w:ilvl w:val="0"/>
          <w:numId w:val="2"/>
        </w:numPr>
        <w:spacing w:after="40" w:before="40"/>
      </w:pPr>
      <w:r>
        <w:rPr>
          <w:rFonts w:ascii="Arial" w:cs="Arial" w:eastAsia="Arial" w:hAnsi="Arial"/>
          <w:sz w:val="22"/>
          <w:szCs w:val="22"/>
        </w:rPr>
        <w:t xml:space="preserve">Three v2 compensation plan documents (Tim Lieto, Ken Cunningham, Tory Teague) signed by the representative and the CRO.</w:t>
      </w:r>
    </w:p>
    <w:p>
      <w:pPr>
        <w:pStyle w:val="ListParagraph"/>
        <w:numPr>
          <w:ilvl w:val="0"/>
          <w:numId w:val="2"/>
        </w:numPr>
        <w:spacing w:after="40" w:before="40"/>
      </w:pPr>
      <w:r>
        <w:rPr>
          <w:rFonts w:ascii="Arial" w:cs="Arial" w:eastAsia="Arial" w:hAnsi="Arial"/>
          <w:sz w:val="22"/>
          <w:szCs w:val="22"/>
        </w:rPr>
        <w:t xml:space="preserve">Confirm whether the retroactive H1 rate change applies (as drafted) or whether H1 should be grandfathered at the prior rate (would require a plan edit).</w:t>
      </w:r>
    </w:p>
    <w:p>
      <w:pPr>
        <w:pStyle w:val="ListParagraph"/>
        <w:numPr>
          <w:ilvl w:val="0"/>
          <w:numId w:val="2"/>
        </w:numPr>
        <w:spacing w:after="40" w:before="40"/>
      </w:pPr>
      <w:r>
        <w:rPr>
          <w:rFonts w:ascii="Arial" w:cs="Arial" w:eastAsia="Arial" w:hAnsi="Arial"/>
          <w:sz w:val="22"/>
          <w:szCs w:val="22"/>
        </w:rPr>
        <w:t xml:space="preserve">Payroll system updated to process the non-recoverable monthly draw for each representative beginning with the July 2026 commission cycle.</w:t>
      </w:r>
    </w:p>
    <w:p>
      <w:pPr>
        <w:pStyle w:val="ListParagraph"/>
        <w:numPr>
          <w:ilvl w:val="0"/>
          <w:numId w:val="2"/>
        </w:numPr>
        <w:spacing w:after="40" w:before="40"/>
      </w:pPr>
      <w:r>
        <w:rPr>
          <w:rFonts w:ascii="Arial" w:cs="Arial" w:eastAsia="Arial" w:hAnsi="Arial"/>
          <w:sz w:val="22"/>
          <w:szCs w:val="22"/>
        </w:rPr>
        <w:t xml:space="preserve">If retroactive H1 application is retained: commission system reruns H1 2026 commissions under the new flat rate for Tim and Ken; the negative difference is queued for offset against future monthly commission payments, with written notice to each representative.</w:t>
      </w:r>
    </w:p>
    <w:p>
      <w:pPr>
        <w:pStyle w:val="ListParagraph"/>
        <w:numPr>
          <w:ilvl w:val="0"/>
          <w:numId w:val="2"/>
        </w:numPr>
        <w:spacing w:after="40" w:before="40"/>
      </w:pPr>
      <w:r>
        <w:rPr>
          <w:rFonts w:ascii="Arial" w:cs="Arial" w:eastAsia="Arial" w:hAnsi="Arial"/>
          <w:sz w:val="22"/>
          <w:szCs w:val="22"/>
        </w:rPr>
        <w:t xml:space="preserve">Markus Hendrik's plan to be addressed in a follow-up amendment (not covered by this document).</w:t>
      </w:r>
    </w:p>
    <w:p>
      <w:pPr>
        <w:pStyle w:val="Heading1"/>
        <w:pBdr>
          <w:bottom w:val="single" w:color="D4A017" w:sz="6" w:space="4"/>
        </w:pBdr>
        <w:spacing w:after="140" w:before="320"/>
      </w:pPr>
      <w:r>
        <w:rPr>
          <w:rFonts w:ascii="Arial" w:cs="Arial" w:eastAsia="Arial" w:hAnsi="Arial"/>
          <w:b/>
          <w:bCs/>
          <w:color w:val="1A3A5C"/>
          <w:sz w:val="28"/>
          <w:szCs w:val="28"/>
        </w:rPr>
        <w:t xml:space="preserve">Document Inventory</w:t>
      </w:r>
    </w:p>
    <w:p>
      <w:pPr>
        <w:pStyle w:val="ListParagraph"/>
        <w:numPr>
          <w:ilvl w:val="0"/>
          <w:numId w:val="2"/>
        </w:numPr>
        <w:spacing w:after="40" w:before="40"/>
      </w:pPr>
      <w:r>
        <w:rPr>
          <w:rFonts w:ascii="Arial" w:cs="Arial" w:eastAsia="Arial" w:hAnsi="Arial"/>
          <w:sz w:val="22"/>
          <w:szCs w:val="22"/>
        </w:rPr>
        <w:t xml:space="preserve">comp-plan-tim-lieto-2026-v2.docx - Clean v2 of Tim Lieto's plan</w:t>
      </w:r>
    </w:p>
    <w:p>
      <w:pPr>
        <w:pStyle w:val="ListParagraph"/>
        <w:numPr>
          <w:ilvl w:val="0"/>
          <w:numId w:val="2"/>
        </w:numPr>
        <w:spacing w:after="40" w:before="40"/>
      </w:pPr>
      <w:r>
        <w:rPr>
          <w:rFonts w:ascii="Arial" w:cs="Arial" w:eastAsia="Arial" w:hAnsi="Arial"/>
          <w:sz w:val="22"/>
          <w:szCs w:val="22"/>
        </w:rPr>
        <w:t xml:space="preserve">comp-plan-ken-cunningham-2026-v2.docx - Clean v2 of Ken Cunningham's plan</w:t>
      </w:r>
    </w:p>
    <w:p>
      <w:pPr>
        <w:pStyle w:val="ListParagraph"/>
        <w:numPr>
          <w:ilvl w:val="0"/>
          <w:numId w:val="2"/>
        </w:numPr>
        <w:spacing w:after="40" w:before="40"/>
      </w:pPr>
      <w:r>
        <w:rPr>
          <w:rFonts w:ascii="Arial" w:cs="Arial" w:eastAsia="Arial" w:hAnsi="Arial"/>
          <w:sz w:val="22"/>
          <w:szCs w:val="22"/>
        </w:rPr>
        <w:t xml:space="preserve">comp-plan-tory-teague-2026-v2.docx - Clean v2 of Tory Teague's plan</w:t>
      </w:r>
    </w:p>
    <w:p>
      <w:pPr>
        <w:pStyle w:val="ListParagraph"/>
        <w:numPr>
          <w:ilvl w:val="0"/>
          <w:numId w:val="2"/>
        </w:numPr>
        <w:spacing w:after="40" w:before="40"/>
      </w:pPr>
      <w:r>
        <w:rPr>
          <w:rFonts w:ascii="Arial" w:cs="Arial" w:eastAsia="Arial" w:hAnsi="Arial"/>
          <w:sz w:val="22"/>
          <w:szCs w:val="22"/>
        </w:rPr>
        <w:t xml:space="preserve">comp-plan-amendment-2026-summary.docx - This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MaiaEdge 2026 Comp Plan Amendment - Summary of Changes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2026-05-29T12:18:36.033Z</dcterms:created>
  <dcterms:modified xsi:type="dcterms:W3CDTF">2026-05-29T12:18:36.035Z</dcterms:modified>
</cp:coreProperties>
</file>

<file path=docProps/custom.xml><?xml version="1.0" encoding="utf-8"?>
<Properties xmlns="http://schemas.openxmlformats.org/officeDocument/2006/custom-properties" xmlns:vt="http://schemas.openxmlformats.org/officeDocument/2006/docPropsVTypes"/>
</file>