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Markus Hendrik</w:t>
      </w:r>
    </w:p>
    <w:p>
      <w:pPr>
        <w:jc w:val="center"/>
      </w:pPr>
      <w:r>
        <w:rPr>
          <w:rFonts w:ascii="Arial" w:cs="Arial" w:eastAsia="Arial" w:hAnsi="Arial"/>
          <w:color w:val="555555"/>
          <w:sz w:val="26"/>
          <w:szCs w:val="26"/>
        </w:rPr>
        <w:t xml:space="preserve">Managing Director, Europe</w:t>
      </w:r>
    </w:p>
    <w:p>
      <w:pPr>
        <w:jc w:val="center"/>
      </w:pPr>
      <w:r>
        <w:rPr>
          <w:rFonts w:ascii="Arial" w:cs="Arial" w:eastAsia="Arial" w:hAnsi="Arial"/>
          <w:color w:val="888888"/>
          <w:sz w:val="24"/>
          <w:szCs w:val="24"/>
        </w:rPr>
        <w:t xml:space="preserve">Europe Region  |  Dusseldorf, Germany</w:t>
      </w:r>
    </w:p>
    <w:p>
      <w:pPr>
        <w:spacing w:after="200" w:before="0"/>
      </w:pPr>
      <w:r>
        <w:t xml:space="preserve"/>
      </w:r>
    </w:p>
    <w:p>
      <w:pPr>
        <w:jc w:val="center"/>
      </w:pPr>
      <w:r>
        <w:rPr>
          <w:rFonts w:ascii="Arial" w:cs="Arial" w:eastAsia="Arial" w:hAnsi="Arial"/>
          <w:color w:val="555555"/>
          <w:sz w:val="22"/>
          <w:szCs w:val="22"/>
        </w:rPr>
        <w:t xml:space="preserve">Effective Date: On or before June 5, 2026</w:t>
      </w:r>
    </w:p>
    <w:p>
      <w:pPr>
        <w:jc w:val="center"/>
      </w:pPr>
      <w:r>
        <w:rPr>
          <w:rFonts w:ascii="Arial" w:cs="Arial" w:eastAsia="Arial" w:hAnsi="Arial"/>
          <w:color w:val="555555"/>
          <w:sz w:val="22"/>
          <w:szCs w:val="22"/>
        </w:rPr>
        <w:t xml:space="preserve">Currency: EUR (Euro)</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Markus Hendrik, Managing Director Europe, effective on or before June 5, 2026. Year 1 variable compensation is prorated from the Start Date through December 31, 2026. A full-year plan will be issued on or before January 1, 2027.</w:t>
      </w:r>
    </w:p>
    <w:p>
      <w:pPr>
        <w:spacing w:after="40" w:before="0"/>
      </w:pPr>
      <w:r>
        <w:t xml:space="preserve"/>
      </w:r>
    </w:p>
    <w:p>
      <w:pPr>
        <w:spacing w:after="60" w:before="60"/>
      </w:pPr>
      <w:r>
        <w:rPr>
          <w:rFonts w:ascii="Arial" w:cs="Arial" w:eastAsia="Arial" w:hAnsi="Arial"/>
          <w:i/>
          <w:iCs/>
          <w:color w:val="555555"/>
          <w:sz w:val="22"/>
          <w:szCs w:val="22"/>
        </w:rPr>
        <w:t xml:space="preserve">This plan is intended to comply with applicable German employment law. In the event of any conflict with applicable law, applicable law shall govern.</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2700"/>
        <w:gridCol w:w="36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27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Annual Rate</w:t>
            </w:r>
          </w:p>
        </w:tc>
        <w:tc>
          <w:tcPr>
            <w:tcW w:type="dxa" w:w="36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Year 1 (Pro-Rated, ~7 months)</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170,000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(paid per payroll schedule)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at 100% Attainment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130,000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~75,833</w:t>
            </w:r>
          </w:p>
        </w:tc>
      </w:tr>
      <w:tr>
        <w:trPr>
          <w:tblHeader w:val="false"/>
        </w:trPr>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OTE</w:t>
            </w:r>
          </w:p>
        </w:tc>
        <w:tc>
          <w:tcPr>
            <w:tcW w:type="dxa" w:w="27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300,000</w:t>
            </w:r>
          </w:p>
        </w:tc>
        <w:tc>
          <w:tcPr>
            <w:tcW w:type="dxa" w:w="36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~245,833</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(Euro)</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Work Location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Dusseldorf, Germany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Reporting Manager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Timothy Ziemer, CRO &amp; Co-Founder</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Equity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350,000 Stock Options (subject to Board approval)</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 &amp; Variable Structure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Europe ARR Target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400,000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Year 1 Pro-Rated Target (~7 months)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~233,333</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The EUR 400,000 target reflects the Year 1 ramp for a new European territory. Markus Hendrik is responsible for establishing MaiaEdge's European market presence, building the initial pipeline, and closing the first European customers.</w:t>
      </w:r>
    </w:p>
    <w:p>
      <w:pPr>
        <w:spacing w:after="80" w:before="0"/>
      </w:pPr>
      <w:r>
        <w:t xml:space="preserve"/>
      </w:r>
    </w:p>
    <w:p>
      <w:pPr>
        <w:spacing w:after="80" w:before="200"/>
      </w:pPr>
      <w:r>
        <w:rPr>
          <w:rFonts w:ascii="Arial" w:cs="Arial" w:eastAsia="Arial" w:hAnsi="Arial"/>
          <w:b/>
          <w:bCs/>
          <w:color w:val="1A3A5C"/>
          <w:sz w:val="24"/>
          <w:szCs w:val="24"/>
        </w:rPr>
        <w:t xml:space="preserve">Variable Compensation Components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2200"/>
        <w:gridCol w:w="43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Annual Target</w:t>
            </w:r>
          </w:p>
        </w:tc>
        <w:tc>
          <w:tcPr>
            <w:tcW w:type="dxa" w:w="43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Basis</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Revenue Commission (70%)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91,000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Earned on ARR booked by the Europe team. Base rate 22.75% of ARR.</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Strategic / MBO Bonus (30%)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39,000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Quarterly MBOs set by CRO within 30 days of Start Date.</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Variable at 100%</w:t>
            </w:r>
          </w:p>
        </w:tc>
        <w:tc>
          <w:tcPr>
            <w:tcW w:type="dxa" w:w="22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130,000</w:t>
            </w:r>
          </w:p>
        </w:tc>
        <w:tc>
          <w:tcPr>
            <w:tcW w:type="dxa" w:w="43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 (Revenue Component)</w:t>
      </w:r>
    </w:p>
    <w:p>
      <w:pPr>
        <w:spacing w:after="60" w:before="60"/>
      </w:pPr>
      <w:r>
        <w:rPr>
          <w:rFonts w:ascii="Arial" w:cs="Arial" w:eastAsia="Arial" w:hAnsi="Arial"/>
          <w:sz w:val="22"/>
          <w:szCs w:val="22"/>
        </w:rPr>
        <w:t xml:space="preserve">The deceleration schedule below applies to the revenue commission component (EUR 91,000 annual target). The MBO component is paid per quarterly scorecard independently of ARR attainment tier.</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2800"/>
        <w:gridCol w:w="37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ARR Target</w:t>
            </w:r>
          </w:p>
        </w:tc>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0% - 100%  (at or below plan)</w:t>
            </w:r>
          </w:p>
        </w:tc>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22.75%  (full base rate)</w:t>
            </w:r>
          </w:p>
        </w:tc>
        <w:tc>
          <w:tcPr>
            <w:tcW w:type="dxa" w:w="3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 rate from first booking through 100% of target</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Above 100%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18.20%  (base x 0.80)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Deceleration above plan; no cap on bookings</w:t>
            </w:r>
          </w:p>
        </w:tc>
      </w:tr>
    </w:tbl>
    <w:p>
      <w:pPr>
        <w:spacing w:after="60" w:before="0"/>
      </w:pPr>
      <w:r>
        <w:t xml:space="preserve"/>
      </w:r>
    </w:p>
    <w:p>
      <w:pPr>
        <w:spacing w:after="60" w:before="60"/>
      </w:pPr>
      <w:r>
        <w:rPr>
          <w:rFonts w:ascii="Arial" w:cs="Arial" w:eastAsia="Arial" w:hAnsi="Arial"/>
          <w:i/>
          <w:iCs/>
          <w:color w:val="555555"/>
          <w:sz w:val="22"/>
          <w:szCs w:val="22"/>
        </w:rPr>
        <w:t xml:space="preserve">No minimum attainment threshold. Commission accrues from the first closed deal. Above 100% of target, the marginal rate decreases rather than increases.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sourced, managed, and closed by the representative in accordance with Company sales process guidelines.</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standard deceleration schedule still applies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In Germany, the payment of accrued variable compensation upon termination is governed by applicable German employment law, which controls in the event of any inconsistency with this section.</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Germany-Specific Provisions</w:t>
      </w:r>
    </w:p>
    <w:p>
      <w:pPr>
        <w:pStyle w:val="ListParagraph"/>
        <w:numPr>
          <w:ilvl w:val="0"/>
          <w:numId w:val="2"/>
        </w:numPr>
        <w:spacing w:after="40" w:before="40"/>
      </w:pPr>
      <w:r>
        <w:rPr>
          <w:rFonts w:ascii="Arial" w:cs="Arial" w:eastAsia="Arial" w:hAnsi="Arial"/>
          <w:sz w:val="22"/>
          <w:szCs w:val="22"/>
        </w:rPr>
        <w:t xml:space="preserve">This plan supplements the German employment agreement. In the event of inconsistency between this plan and the German employment agreement or applicable German law, the employment agreement and German law control.</w:t>
      </w:r>
    </w:p>
    <w:p>
      <w:pPr>
        <w:pStyle w:val="ListParagraph"/>
        <w:numPr>
          <w:ilvl w:val="0"/>
          <w:numId w:val="2"/>
        </w:numPr>
        <w:spacing w:after="40" w:before="40"/>
      </w:pPr>
      <w:r>
        <w:rPr>
          <w:rFonts w:ascii="Arial" w:cs="Arial" w:eastAsia="Arial" w:hAnsi="Arial"/>
          <w:sz w:val="22"/>
          <w:szCs w:val="22"/>
        </w:rPr>
        <w:t xml:space="preserve">Variable compensation targets and MBOs will be reviewed annually and may be adjusted with the legally required notice period under German law. Changes to ongoing commission arrangements require either the consent of Markus Hendrik or compliance with German statutory notice requirements.</w:t>
      </w:r>
    </w:p>
    <w:p>
      <w:pPr>
        <w:pStyle w:val="ListParagraph"/>
        <w:numPr>
          <w:ilvl w:val="0"/>
          <w:numId w:val="2"/>
        </w:numPr>
        <w:spacing w:after="40" w:before="40"/>
      </w:pPr>
      <w:r>
        <w:rPr>
          <w:rFonts w:ascii="Arial" w:cs="Arial" w:eastAsia="Arial" w:hAnsi="Arial"/>
          <w:sz w:val="22"/>
          <w:szCs w:val="22"/>
        </w:rPr>
        <w:t xml:space="preserve">In the event of termination, accrued and earned variable compensation will be paid in accordance with German statutory requirements, including any applicable provisions of the Burgerliches Gesetzbuch (BGB). The voluntary/involuntary termination distinctions in this plan apply only to the extent consistent with German law.</w:t>
      </w:r>
    </w:p>
    <w:p>
      <w:pPr>
        <w:pStyle w:val="ListParagraph"/>
        <w:numPr>
          <w:ilvl w:val="0"/>
          <w:numId w:val="2"/>
        </w:numPr>
        <w:spacing w:after="40" w:before="40"/>
      </w:pPr>
      <w:r>
        <w:rPr>
          <w:rFonts w:ascii="Arial" w:cs="Arial" w:eastAsia="Arial" w:hAnsi="Arial"/>
          <w:sz w:val="22"/>
          <w:szCs w:val="22"/>
        </w:rPr>
        <w:t xml:space="preserve">This plan constitutes a binding commitment by MaiaEdge, Inc. to pay the agreed variable compensation upon achievement of the stated targets. In the event the Company fails to provide Markus Hendrik with sufficient opportunity to earn variable compensation through no fault of his own, the parties will negotiate in good faith an appropriate adjustment to the target or compensation amount.</w:t>
      </w:r>
    </w:p>
    <w:p>
      <w:pPr>
        <w:spacing w:after="40" w:before="0"/>
      </w:pPr>
      <w:r>
        <w:t xml:space="preserve"/>
      </w:r>
    </w:p>
    <w:p>
      <w:pPr>
        <w:spacing w:after="80" w:before="200"/>
      </w:pPr>
      <w:r>
        <w:rPr>
          <w:rFonts w:ascii="Arial" w:cs="Arial" w:eastAsia="Arial" w:hAnsi="Arial"/>
          <w:b/>
          <w:bCs/>
          <w:color w:val="1A3A5C"/>
          <w:sz w:val="24"/>
          <w:szCs w:val="24"/>
        </w:rPr>
        <w:t xml:space="preserve">Betriebsrat (Works Council)</w:t>
      </w:r>
    </w:p>
    <w:p>
      <w:pPr>
        <w:spacing w:after="60" w:before="60"/>
      </w:pPr>
      <w:r>
        <w:rPr>
          <w:rFonts w:ascii="Arial" w:cs="Arial" w:eastAsia="Arial" w:hAnsi="Arial"/>
          <w:sz w:val="22"/>
          <w:szCs w:val="22"/>
        </w:rPr>
        <w:t xml:space="preserve">As of the effective date of this plan, MaiaEdge has not established a German legal entity or subsidiary with a workforce of five or more employees. No Betriebsrat (works council) obligation therefore exists at this time under the Betriebsverfassungsgesetz (BetrVG).</w:t>
      </w:r>
    </w:p>
    <w:p>
      <w:pPr>
        <w:spacing w:after="40" w:before="0"/>
      </w:pPr>
      <w:r>
        <w:t xml:space="preserve"/>
      </w:r>
    </w:p>
    <w:p>
      <w:pPr>
        <w:spacing w:after="60" w:before="60"/>
      </w:pPr>
      <w:r>
        <w:rPr>
          <w:rFonts w:ascii="Arial" w:cs="Arial" w:eastAsia="Arial" w:hAnsi="Arial"/>
          <w:sz w:val="22"/>
          <w:szCs w:val="22"/>
        </w:rPr>
        <w:t xml:space="preserve">In the event MaiaEdge establishes a German entity and a Betriebsrat is subsequently formed, modifications to this plan that are subject to co-determination rights (Mitbestimmungsrechte) under Section 87 BetrVG (in particular, provisions governing remuneration arrangements and principles of remuneration) will require prior consultation with and, where applicable, consent of the works council before taking effect. The Company will engage German employment counsel before making any such changes.</w:t>
      </w:r>
    </w:p>
    <w:p>
      <w:pPr>
        <w:spacing w:after="40" w:before="0"/>
      </w:pPr>
      <w:r>
        <w:t xml:space="preserve"/>
      </w:r>
    </w:p>
    <w:p>
      <w:pPr>
        <w:spacing w:after="60" w:before="60"/>
      </w:pPr>
      <w:r>
        <w:rPr>
          <w:rFonts w:ascii="Arial" w:cs="Arial" w:eastAsia="Arial" w:hAnsi="Arial"/>
          <w:i/>
          <w:iCs/>
          <w:color w:val="555555"/>
          <w:sz w:val="22"/>
          <w:szCs w:val="22"/>
        </w:rPr>
        <w:t xml:space="preserve">MaiaEdge will not take any action intended to discourage or prevent the formation of a Betriebsrat, and will comply with all obligations under the BetrVG if and when a works council is established.</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Equity Compensation (Reference)</w:t>
      </w:r>
    </w:p>
    <w:p>
      <w:pPr>
        <w:spacing w:after="60" w:before="60"/>
      </w:pPr>
      <w:r>
        <w:rPr>
          <w:rFonts w:ascii="Arial" w:cs="Arial" w:eastAsia="Arial" w:hAnsi="Arial"/>
          <w:sz w:val="22"/>
          <w:szCs w:val="22"/>
        </w:rPr>
        <w:t xml:space="preserve">350,000 Stock Options issued on or within 30 days of Start Date, subject to Board approval. Vesting schedule and strike price to be set forth in a separate Stock Option Agreement.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State of Delaware (USA), except where superseded by German law as stated herein.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Name (Print):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2026-05-27T19:00:37.127Z</dcterms:created>
  <dcterms:modified xsi:type="dcterms:W3CDTF">2026-05-27T19:00:37.127Z</dcterms:modified>
</cp:coreProperties>
</file>

<file path=docProps/custom.xml><?xml version="1.0" encoding="utf-8"?>
<Properties xmlns="http://schemas.openxmlformats.org/officeDocument/2006/custom-properties" xmlns:vt="http://schemas.openxmlformats.org/officeDocument/2006/docPropsVTypes"/>
</file>