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jc w:val="center"/>
      </w:pPr>
      <w:r>
        <w:rPr>
          <w:rFonts w:ascii="Arial" w:cs="Arial" w:eastAsia="Arial" w:hAnsi="Arial"/>
          <w:b/>
          <w:bCs/>
          <w:color w:val="1A3A5C"/>
          <w:sz w:val="40"/>
          <w:szCs w:val="40"/>
        </w:rPr>
        <w:t xml:space="preserve">MaiaEdge, Inc.</w:t>
      </w:r>
    </w:p>
    <w:p>
      <w:pPr>
        <w:jc w:val="center"/>
      </w:pPr>
      <w:r>
        <w:rPr>
          <w:rFonts w:ascii="Arial" w:cs="Arial" w:eastAsia="Arial" w:hAnsi="Arial"/>
          <w:b/>
          <w:bCs/>
          <w:color w:val="D4A017"/>
          <w:sz w:val="32"/>
          <w:szCs w:val="32"/>
        </w:rPr>
        <w:t xml:space="preserve">Sales Compensation Plan</w:t>
      </w:r>
    </w:p>
    <w:p>
      <w:pPr>
        <w:jc w:val="center"/>
      </w:pPr>
      <w:r>
        <w:rPr>
          <w:rFonts w:ascii="Arial" w:cs="Arial" w:eastAsia="Arial" w:hAnsi="Arial"/>
          <w:b/>
          <w:bCs/>
          <w:color w:val="555555"/>
          <w:sz w:val="26"/>
          <w:szCs w:val="26"/>
        </w:rPr>
        <w:t xml:space="preserve">Standard Terms Review &amp; Recommendations</w:t>
      </w:r>
    </w:p>
    <w:p>
      <w:pPr>
        <w:spacing w:after="80" w:before="0"/>
      </w:pPr>
      <w:r>
        <w:t xml:space="preserve"/>
      </w:r>
    </w:p>
    <w:p>
      <w:pPr>
        <w:pBdr>
          <w:top w:val="single" w:color="D4A017" w:sz="6" w:space="4"/>
          <w:bottom w:val="single" w:color="D4A017" w:sz="6" w:space="4"/>
        </w:pBdr>
        <w:spacing w:after="80" w:before="80"/>
        <w:jc w:val="center"/>
      </w:pPr>
      <w:r>
        <w:rPr>
          <w:rFonts w:ascii="Arial" w:cs="Arial" w:eastAsia="Arial" w:hAnsi="Arial"/>
          <w:i/>
          <w:iCs/>
          <w:color w:val="555555"/>
          <w:sz w:val="20"/>
          <w:szCs w:val="20"/>
        </w:rPr>
        <w:t xml:space="preserve">Based on Okta FY26 SEC Filing, Cisco Standard Terms, Sales Management Association Library</w:t>
      </w:r>
    </w:p>
    <w:p>
      <w:pPr>
        <w:spacing w:after="300" w:before="0"/>
      </w:pPr>
      <w:r>
        <w:t xml:space="preserve"/>
      </w:r>
    </w:p>
    <w:p>
      <w:pPr>
        <w:spacing w:after="50" w:before="50"/>
      </w:pPr>
      <w:r>
        <w:rPr>
          <w:rFonts w:ascii="Arial" w:cs="Arial" w:eastAsia="Arial" w:hAnsi="Arial"/>
          <w:b/>
          <w:bCs/>
          <w:sz w:val="21"/>
          <w:szCs w:val="21"/>
        </w:rPr>
        <w:t xml:space="preserve">Sources reviewed:</w:t>
      </w:r>
    </w:p>
    <w:p>
      <w:pPr>
        <w:pStyle w:val="ListParagraph"/>
        <w:numPr>
          <w:ilvl w:val="0"/>
          <w:numId w:val="2"/>
        </w:numPr>
        <w:spacing w:after="30" w:before="30"/>
      </w:pPr>
      <w:r>
        <w:rPr>
          <w:rFonts w:ascii="Arial" w:cs="Arial" w:eastAsia="Arial" w:hAnsi="Arial"/>
          <w:sz w:val="21"/>
          <w:szCs w:val="21"/>
        </w:rPr>
        <w:t xml:space="preserve">Okta, Inc. FY26 Sales Incentive Terms and Conditions (SEC Exhibit 10.1, filed May 2025)</w:t>
      </w:r>
    </w:p>
    <w:p>
      <w:pPr>
        <w:pStyle w:val="ListParagraph"/>
        <w:numPr>
          <w:ilvl w:val="0"/>
          <w:numId w:val="2"/>
        </w:numPr>
        <w:spacing w:after="30" w:before="30"/>
      </w:pPr>
      <w:r>
        <w:rPr>
          <w:rFonts w:ascii="Arial" w:cs="Arial" w:eastAsia="Arial" w:hAnsi="Arial"/>
          <w:sz w:val="21"/>
          <w:szCs w:val="21"/>
        </w:rPr>
        <w:t xml:space="preserve">Sales Management Association: Sales Compensation Plan Policies &amp; Guidelines (multi-company library)</w:t>
      </w:r>
    </w:p>
    <w:p>
      <w:pPr>
        <w:pStyle w:val="ListParagraph"/>
        <w:numPr>
          <w:ilvl w:val="0"/>
          <w:numId w:val="2"/>
        </w:numPr>
        <w:spacing w:after="30" w:before="30"/>
      </w:pPr>
      <w:r>
        <w:rPr>
          <w:rFonts w:ascii="Arial" w:cs="Arial" w:eastAsia="Arial" w:hAnsi="Arial"/>
          <w:sz w:val="21"/>
          <w:szCs w:val="21"/>
        </w:rPr>
        <w:t xml:space="preserve">Cisco Systems Standard Terms &amp; Conditions</w:t>
      </w:r>
    </w:p>
    <w:p>
      <w:pPr>
        <w:pStyle w:val="ListParagraph"/>
        <w:numPr>
          <w:ilvl w:val="0"/>
          <w:numId w:val="2"/>
        </w:numPr>
        <w:spacing w:after="30" w:before="30"/>
      </w:pPr>
      <w:r>
        <w:rPr>
          <w:rFonts w:ascii="Arial" w:cs="Arial" w:eastAsia="Arial" w:hAnsi="Arial"/>
          <w:sz w:val="21"/>
          <w:szCs w:val="21"/>
        </w:rPr>
        <w:t xml:space="preserve">CaptivateIQ, Salesforce, QuotaPath — industry best practice references</w:t>
      </w:r>
    </w:p>
    <w:p>
      <w:pPr>
        <w:spacing w:after="400" w:before="0"/>
      </w:pPr>
      <w:r>
        <w:t xml:space="preserve"/>
      </w:r>
    </w:p>
    <w:p>
      <w:pPr>
        <w:jc w:val="center"/>
      </w:pPr>
      <w:r>
        <w:rPr>
          <w:rFonts w:ascii="Arial" w:cs="Arial" w:eastAsia="Arial" w:hAnsi="Arial"/>
          <w:i/>
          <w:iCs/>
          <w:color w:val="AAAAAA"/>
          <w:sz w:val="18"/>
          <w:szCs w:val="18"/>
        </w:rPr>
        <w:t xml:space="preserve">CONFIDENTIAL  |  May 2026</w:t>
      </w:r>
    </w:p>
    <w:p>
      <w:r>
        <w:br w:type="page"/>
      </w:r>
    </w:p>
    <w:p>
      <w:pPr>
        <w:pBdr>
          <w:bottom w:val="single" w:color="D4A017" w:sz="6" w:space="4"/>
        </w:pBdr>
        <w:spacing w:after="100" w:before="280"/>
      </w:pPr>
      <w:r>
        <w:rPr>
          <w:rFonts w:ascii="Arial" w:cs="Arial" w:eastAsia="Arial" w:hAnsi="Arial"/>
          <w:b/>
          <w:bCs/>
          <w:color w:val="1A3A5C"/>
          <w:sz w:val="28"/>
          <w:szCs w:val="28"/>
        </w:rPr>
        <w:t xml:space="preserve">How to Read This Checklist</w:t>
      </w:r>
    </w:p>
    <w:p>
      <w:pPr>
        <w:spacing w:after="50" w:before="50"/>
      </w:pPr>
      <w:r>
        <w:rPr>
          <w:rFonts w:ascii="Arial" w:cs="Arial" w:eastAsia="Arial" w:hAnsi="Arial"/>
          <w:sz w:val="21"/>
          <w:szCs w:val="21"/>
        </w:rPr>
        <w:t xml:space="preserve">Each row in the tables below represents a standard clause or provision found in enterprise sales compensation plans at companies like Okta, Cisco, Juniper Networks, and Palo Alto Networks. The Status column shows whether each term is present in MaiaEdge's current FY2026 comp plans.</w:t>
      </w:r>
    </w:p>
    <w:p>
      <w:pPr>
        <w:spacing w:after="60" w:before="0"/>
      </w:pPr>
      <w:r>
        <w:t xml:space="preserve"/>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1400"/>
        <w:gridCol w:w="4600"/>
      </w:tblGrid>
      <w:tr>
        <w:tc>
          <w:tcPr>
            <w:tcW w:type="dxa" w:w="1400"/>
            <w:tcBorders>
              <w:top w:val="single" w:color="CCCCCC" w:sz="4"/>
              <w:left w:val="single" w:color="CCCCCC" w:sz="4"/>
              <w:bottom w:val="single" w:color="CCCCCC" w:sz="4"/>
              <w:right w:val="single" w:color="CCCCCC" w:sz="4"/>
            </w:tcBorders>
            <w:shd w:fill="D5ECD4" w:val="clear"/>
            <w:tcMar>
              <w:top w:type="dxa" w:w="60"/>
              <w:left w:type="dxa" w:w="120"/>
              <w:bottom w:type="dxa" w:w="60"/>
              <w:right w:type="dxa" w:w="80"/>
            </w:tcMar>
          </w:tcPr>
          <w:p>
            <w:r>
              <w:rPr>
                <w:rFonts w:ascii="Arial" w:cs="Arial" w:eastAsia="Arial" w:hAnsi="Arial"/>
                <w:b/>
                <w:bCs/>
                <w:sz w:val="19"/>
                <w:szCs w:val="19"/>
              </w:rPr>
              <w:t xml:space="preserve">Present</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Already included in the current MaiaEdge comp plan documents</w:t>
            </w:r>
          </w:p>
        </w:tc>
      </w:tr>
      <w:tr>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9"/>
                <w:szCs w:val="19"/>
              </w:rPr>
              <w:t xml:space="preserve">Add</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Missing and recommended — commonly found in enterprise plans and worth adding</w:t>
            </w:r>
          </w:p>
        </w:tc>
      </w:tr>
      <w:tr>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9"/>
                <w:szCs w:val="19"/>
              </w:rPr>
              <w:t xml:space="preserve">Nice to Have</w:t>
            </w:r>
          </w:p>
        </w:tc>
        <w:tc>
          <w:tcPr>
            <w:tcW w:type="dxa" w:w="4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Optional — adds legal protection or clarity but not essential for initial execution</w:t>
            </w:r>
          </w:p>
        </w:tc>
      </w:tr>
    </w:tbl>
    <w:p>
      <w:pPr>
        <w:spacing w:after="120" w:before="0"/>
      </w:pPr>
      <w:r>
        <w:t xml:space="preserve"/>
      </w:r>
    </w:p>
    <w:p>
      <w:r>
        <w:br w:type="page"/>
      </w:r>
    </w:p>
    <w:p>
      <w:pPr>
        <w:pBdr>
          <w:bottom w:val="single" w:color="D4A017" w:sz="6" w:space="4"/>
        </w:pBdr>
        <w:spacing w:after="100" w:before="280"/>
      </w:pPr>
      <w:r>
        <w:rPr>
          <w:rFonts w:ascii="Arial" w:cs="Arial" w:eastAsia="Arial" w:hAnsi="Arial"/>
          <w:b/>
          <w:bCs/>
          <w:color w:val="1A3A5C"/>
          <w:sz w:val="28"/>
          <w:szCs w:val="28"/>
        </w:rPr>
        <w:t xml:space="preserve">1.  Plan Administration &amp; Modification Rights</w:t>
      </w:r>
    </w:p>
    <w:p>
      <w:pPr>
        <w:spacing w:after="50" w:before="50"/>
      </w:pPr>
      <w:r>
        <w:rPr>
          <w:rFonts w:ascii="Arial" w:cs="Arial" w:eastAsia="Arial" w:hAnsi="Arial"/>
          <w:sz w:val="21"/>
          <w:szCs w:val="21"/>
        </w:rPr>
        <w:t xml:space="preserve">The most litigated area of sales comp law. Every major enterprise plan explicitly defines who controls the plan and what they can change.</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400"/>
        <w:gridCol w:w="51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Standard Term / Clause</w:t>
            </w:r>
          </w:p>
        </w:tc>
        <w:tc>
          <w:tcPr>
            <w:tcW w:type="dxa" w:w="14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Status</w:t>
            </w:r>
          </w:p>
        </w:tc>
        <w:tc>
          <w:tcPr>
            <w:tcW w:type="dxa" w:w="516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Recommendation / Suggested Language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Right to modify plan at any time</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say 'with reasonable notice.' Okta and most enterprise plans say the company has 'sole and absolute discretion' to modify at any point, with written notification. Suggest strengthening: 'The Company reserves the right to modify, amend, or terminate this plan at any time in its sole discretion. Changes that reduce earned, calculable commissions will not apply retroactively.'</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Modifications do not apply retroactively to earned commissions</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Critical protection for the rep — and important to state explicitly so reps will sign. Earned = booked and calculable. Standard language: 'Plan changes shall not be made to apply retroactively to incentive compensation already earned.'</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Written notification of plan changes</w:t>
            </w:r>
          </w:p>
        </w:tc>
        <w:tc>
          <w:tcPr>
            <w:tcW w:type="dxa" w:w="1400"/>
            <w:tcBorders>
              <w:top w:val="single" w:color="CCCCCC" w:sz="4"/>
              <w:left w:val="single" w:color="CCCCCC" w:sz="4"/>
              <w:bottom w:val="single" w:color="CCCCCC" w:sz="4"/>
              <w:right w:val="single" w:color="CCCCCC" w:sz="4"/>
            </w:tcBorders>
            <w:shd w:fill="D5ECD4" w:val="clear"/>
            <w:tcMar>
              <w:top w:type="dxa" w:w="60"/>
              <w:left w:type="dxa" w:w="120"/>
              <w:bottom w:type="dxa" w:w="60"/>
              <w:right w:type="dxa" w:w="80"/>
            </w:tcMar>
          </w:tcPr>
          <w:p>
            <w:r>
              <w:rPr>
                <w:rFonts w:ascii="Arial" w:cs="Arial" w:eastAsia="Arial" w:hAnsi="Arial"/>
                <w:b/>
                <w:bCs/>
                <w:sz w:val="18"/>
                <w:szCs w:val="18"/>
              </w:rPr>
              <w:t xml:space="preserve">Present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reference written acknowledgment. Good. Consider adding: 'Email constitutes written notice.'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Territory / account reassignment rights</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'IDSG reserves the right to modify customer account lists or territory at any time.' Suggest adding: 'The Company reserves the right to reassign accounts or territories at any time. Commissions on bookings earned through the effective date of reassignment will be paid; pipeline in the former territory has a 90-day handoff window.'</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Quota modification triggers</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specifies: quotas may be modified in the event of 'extraordinary events, changes in business conditions, or significant events.' Suggest adding a clause that covers M&amp;A, product line changes, or territory restructuring as qualifying triggers for mid-year quota adjustments.</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Dispute resolution — named authority</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are silent. Okta uses an IDSG; industry standard is to name a specific role (e.g., 'CRO, in their sole discretion'). Suggest: 'All disputes regarding commission calculations or plan interpretation will be resolved by the CRO in their sole discretion. Decisions are final and binding.'</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30-day dispute window</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disputes must be submitted within 30 calendar days of the CRM close date. Standard industry practice. Suggest adding: 'Any disputes or adjustment requests must be submitted in writing within 30 days of the applicable monthly commission statement date. Requests submitted after 30 days will not be considered.'</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Plan is not a contract of employment</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Almost universal in enterprise plans. Suggest adding: 'This plan does not constitute a contract of employment, nor does it guarantee continued employment or continued eligibility to participate in this plan.'</w:t>
            </w:r>
          </w:p>
        </w:tc>
      </w:tr>
    </w:tbl>
    <w:p>
      <w:pPr>
        <w:spacing w:after="12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2.  Commission Calculation &amp; Crediting</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400"/>
        <w:gridCol w:w="51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Standard Term / Clause</w:t>
            </w:r>
          </w:p>
        </w:tc>
        <w:tc>
          <w:tcPr>
            <w:tcW w:type="dxa" w:w="14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Status</w:t>
            </w:r>
          </w:p>
        </w:tc>
        <w:tc>
          <w:tcPr>
            <w:tcW w:type="dxa" w:w="516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Recommendation / Suggested Language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Qualifying booking definition</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defines a 'Qualifying Booking' (executed contract, approved through legal/sales process, start date within 30 days of execution). Suggest adding a definition: 'A booking qualifies for commission when (1) a bilateral contract is fully executed, (2) the contract is logged in the Company CRM, and (3) the contract start date is within 30 days of execution.'</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Revenue recognition compliance</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'If contract structure alters the ability to recognize revenue, Okta reserves the right to reduce the value of a Sale.' Important for SaaS/ARR models. Suggest: 'Commission is calculated on ARR as recognized in accordance with the Company revenue recognition policy. Deals structured in a way that delays or reduces revenue recognition may be adjusted accordingly.'</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Split credit rules</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Not addressed in current plans. Important as team grows. Suggest: 'When two or more representatives contribute to a single booking, split credit may be awarded at the discretion of the CRO, provided total credit awarded does not exceed 100% of the booking value.'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Windfall / bluebird policy</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Both Okta and industry standards flag this. A 'windfall' = a deal &gt;= annual quota value where the rep had minimal involvement. Okta: IDSG reviews and may apply a reduced rate. Suggest: 'Deals where the booking value exceeds the representative's annual quota, or where the Company determines the representative had limited influence in the outcome, may be subject to commission rate adjustment by the CRO.'</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Teaming credit rules</w:t>
            </w:r>
          </w:p>
        </w:tc>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8"/>
                <w:szCs w:val="18"/>
              </w:rPr>
              <w:t xml:space="preserve">Nice to Have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For later. As team grows, will need to define how joint sells are credited. Standard: each rep earns on their share of quota credit; total credit never exceeds 100% without explicit management approval.</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Pricing authority / deep discount clawback</w:t>
            </w:r>
          </w:p>
        </w:tc>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8"/>
                <w:szCs w:val="18"/>
              </w:rPr>
              <w:t xml:space="preserve">Nice to Have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Industry standard: management may reduce commission on deals discounted below authorized pricing levels. Less critical at current stage but worth adding when pricing tiers are formalized.</w:t>
            </w:r>
          </w:p>
        </w:tc>
      </w:tr>
    </w:tbl>
    <w:p>
      <w:pPr>
        <w:spacing w:after="12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3.  Clawback &amp; Commission Recovery</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400"/>
        <w:gridCol w:w="51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Standard Term / Clause</w:t>
            </w:r>
          </w:p>
        </w:tc>
        <w:tc>
          <w:tcPr>
            <w:tcW w:type="dxa" w:w="14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Status</w:t>
            </w:r>
          </w:p>
        </w:tc>
        <w:tc>
          <w:tcPr>
            <w:tcW w:type="dxa" w:w="516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Recommendation / Suggested Language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Second installment recoverable draw (Year 1 non-payment)</w:t>
            </w:r>
          </w:p>
        </w:tc>
        <w:tc>
          <w:tcPr>
            <w:tcW w:type="dxa" w:w="1400"/>
            <w:tcBorders>
              <w:top w:val="single" w:color="CCCCCC" w:sz="4"/>
              <w:left w:val="single" w:color="CCCCCC" w:sz="4"/>
              <w:bottom w:val="single" w:color="CCCCCC" w:sz="4"/>
              <w:right w:val="single" w:color="CCCCCC" w:sz="4"/>
            </w:tcBorders>
            <w:shd w:fill="D5ECD4" w:val="clear"/>
            <w:tcMar>
              <w:top w:type="dxa" w:w="60"/>
              <w:left w:type="dxa" w:w="120"/>
              <w:bottom w:type="dxa" w:w="60"/>
              <w:right w:type="dxa" w:w="80"/>
            </w:tcMar>
          </w:tcPr>
          <w:p>
            <w:r>
              <w:rPr>
                <w:rFonts w:ascii="Arial" w:cs="Arial" w:eastAsia="Arial" w:hAnsi="Arial"/>
                <w:b/>
                <w:bCs/>
                <w:sz w:val="18"/>
                <w:szCs w:val="18"/>
              </w:rPr>
              <w:t xml:space="preserve">Present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second 50% is a recoverable draw if customer fails to pay full year 1. Correctly included. Consider adding the 30-day notice requirement before recovery begins.</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Clawback window (time limit)</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'Commission payments are subject to adjustments for up to 180 days, and subject to clawback for cancellation/non-payment without limitation.' Suggest defining a clawback window: 'The Company may recover commissions on deals where the customer cancels or fails to pay within the first 12 months of the contract.'</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Misrepresentation / fraud clawback</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Industry standard: commissions clawed back in full, regardless of age, if a sale was won through misrepresentation by the rep. Suggest: 'Commissions on bookings obtained through misrepresentation or violation of Company policy are subject to full recovery regardless of when the commission was paid.'</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Recovery method (offset from future commissions)</w:t>
            </w:r>
          </w:p>
        </w:tc>
        <w:tc>
          <w:tcPr>
            <w:tcW w:type="dxa" w:w="1400"/>
            <w:tcBorders>
              <w:top w:val="single" w:color="CCCCCC" w:sz="4"/>
              <w:left w:val="single" w:color="CCCCCC" w:sz="4"/>
              <w:bottom w:val="single" w:color="CCCCCC" w:sz="4"/>
              <w:right w:val="single" w:color="CCCCCC" w:sz="4"/>
            </w:tcBorders>
            <w:shd w:fill="D5ECD4" w:val="clear"/>
            <w:tcMar>
              <w:top w:type="dxa" w:w="60"/>
              <w:left w:type="dxa" w:w="120"/>
              <w:bottom w:type="dxa" w:w="60"/>
              <w:right w:type="dxa" w:w="80"/>
            </w:tcMar>
          </w:tcPr>
          <w:p>
            <w:r>
              <w:rPr>
                <w:rFonts w:ascii="Arial" w:cs="Arial" w:eastAsia="Arial" w:hAnsi="Arial"/>
                <w:b/>
                <w:bCs/>
                <w:sz w:val="18"/>
                <w:szCs w:val="18"/>
              </w:rPr>
              <w:t xml:space="preserve">Present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specify offset from future monthly commission payments. Correct. Okta adds: recovery may also be made from 'salary paychecks or termination pay until fully recovered, to the extent permitted by law.' Consider adding this language.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Written notice of recovery</w:t>
            </w:r>
          </w:p>
        </w:tc>
        <w:tc>
          <w:tcPr>
            <w:tcW w:type="dxa" w:w="1400"/>
            <w:tcBorders>
              <w:top w:val="single" w:color="CCCCCC" w:sz="4"/>
              <w:left w:val="single" w:color="CCCCCC" w:sz="4"/>
              <w:bottom w:val="single" w:color="CCCCCC" w:sz="4"/>
              <w:right w:val="single" w:color="CCCCCC" w:sz="4"/>
            </w:tcBorders>
            <w:shd w:fill="D5ECD4" w:val="clear"/>
            <w:tcMar>
              <w:top w:type="dxa" w:w="60"/>
              <w:left w:type="dxa" w:w="120"/>
              <w:bottom w:type="dxa" w:w="60"/>
              <w:right w:type="dxa" w:w="80"/>
            </w:tcMar>
          </w:tcPr>
          <w:p>
            <w:r>
              <w:rPr>
                <w:rFonts w:ascii="Arial" w:cs="Arial" w:eastAsia="Arial" w:hAnsi="Arial"/>
                <w:b/>
                <w:bCs/>
                <w:sz w:val="18"/>
                <w:szCs w:val="18"/>
              </w:rPr>
              <w:t xml:space="preserve">Present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require written notice. Correct. Consider adding a 15-business-day cure period before recovery begins for non-fraud cases.</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Early contract termination by customer</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address non-payment. Should also address early termination: 'If a customer terminates a contract for convenience within the first contract year, the Company reserves the right to recover commissions proportional to the unearned contract value.'</w:t>
            </w:r>
          </w:p>
        </w:tc>
      </w:tr>
    </w:tbl>
    <w:p>
      <w:pPr>
        <w:spacing w:after="12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4.  Employment Events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400"/>
        <w:gridCol w:w="51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Standard Term / Clause</w:t>
            </w:r>
          </w:p>
        </w:tc>
        <w:tc>
          <w:tcPr>
            <w:tcW w:type="dxa" w:w="14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Status</w:t>
            </w:r>
          </w:p>
        </w:tc>
        <w:tc>
          <w:tcPr>
            <w:tcW w:type="dxa" w:w="516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Recommendation / Suggested Language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Commissions earned through termination date</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are silent on termination. Critical to add: 'Upon termination for any reason, the representative will be paid all earned and calculable commissions through their termination date, in accordance with the monthly payment schedule. No additional commissions accrue after the termination date.'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Recoverable draw at termination</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and industry standard: 'In the event of termination, the Company reserves the right to recover any outstanding recoverable draw balance from final pay, to the extent permitted by applicable law.' Important companion to the existing draw recovery language.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Voluntary vs. involuntary termination distinction</w:t>
            </w:r>
          </w:p>
        </w:tc>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8"/>
                <w:szCs w:val="18"/>
              </w:rPr>
              <w:t xml:space="preserve">Nice to Have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Some plans differentiate: involuntary/RIF employees may earn commissions on deals in pipeline for 60 days post-termination; voluntary resignees earn through termination date only. Nice to have for later stages.</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New hire plan start date rule</w:t>
            </w:r>
          </w:p>
        </w:tc>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8"/>
                <w:szCs w:val="18"/>
              </w:rPr>
              <w:t xml:space="preserve">Nice to Have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uses a '15th of month' rule: hired on/before 15th = plan starts 1st of that month; after 15th = plan starts 1st of next month. Useful standardization as company scales. Not critical for current four reps.</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Promotion / role change</w:t>
            </w:r>
          </w:p>
        </w:tc>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8"/>
                <w:szCs w:val="18"/>
              </w:rPr>
              <w:t xml:space="preserve">Nice to Have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Standard: upon promotion to a non-commission role, all earned commissions are paid through transfer date. Simple to add when needed.</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Leave of absence policy</w:t>
            </w:r>
          </w:p>
        </w:tc>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8"/>
                <w:szCs w:val="18"/>
              </w:rPr>
              <w:t xml:space="preserve">Nice to Have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has a dedicated LOA policy. Not needed now; worth flagging for when team is larger.</w:t>
            </w:r>
          </w:p>
        </w:tc>
      </w:tr>
    </w:tbl>
    <w:p>
      <w:pPr>
        <w:spacing w:after="12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5.  International / Germany-Specific (Markus Hendrik)</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400"/>
        <w:gridCol w:w="51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Standard Term / Clause</w:t>
            </w:r>
          </w:p>
        </w:tc>
        <w:tc>
          <w:tcPr>
            <w:tcW w:type="dxa" w:w="14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Status</w:t>
            </w:r>
          </w:p>
        </w:tc>
        <w:tc>
          <w:tcPr>
            <w:tcW w:type="dxa" w:w="516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Recommendation / Suggested Language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Local currency + fixed FX rate</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'Currency conversion rate is fixed at the beginning of the fiscal year.' Markus's plan already states EUR. Suggest adding: 'The EUR/USD conversion rate used for any internal reporting will be fixed at the rate established by the Company Finance team at the start of each plan year.'</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German mandatory notice on comp plan changes</w:t>
            </w:r>
          </w:p>
        </w:tc>
        <w:tc>
          <w:tcPr>
            <w:tcW w:type="dxa" w:w="1400"/>
            <w:tcBorders>
              <w:top w:val="single" w:color="CCCCCC" w:sz="4"/>
              <w:left w:val="single" w:color="CCCCCC" w:sz="4"/>
              <w:bottom w:val="single" w:color="CCCCCC" w:sz="4"/>
              <w:right w:val="single" w:color="CCCCCC" w:sz="4"/>
            </w:tcBorders>
            <w:shd w:fill="D5ECD4" w:val="clear"/>
            <w:tcMar>
              <w:top w:type="dxa" w:w="60"/>
              <w:left w:type="dxa" w:w="120"/>
              <w:bottom w:type="dxa" w:w="60"/>
              <w:right w:type="dxa" w:w="80"/>
            </w:tcMar>
          </w:tcPr>
          <w:p>
            <w:r>
              <w:rPr>
                <w:rFonts w:ascii="Arial" w:cs="Arial" w:eastAsia="Arial" w:hAnsi="Arial"/>
                <w:b/>
                <w:bCs/>
                <w:sz w:val="18"/>
                <w:szCs w:val="18"/>
              </w:rPr>
              <w:t xml:space="preserve">Present</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Current plans note that German law controls on variable comp changes. Correct. Ensure the German employment agreement contains the statutory notice period (typically 1-3 months depending on provision type).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Betriebsrat (works council) considerations</w:t>
            </w:r>
          </w:p>
        </w:tc>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8"/>
                <w:szCs w:val="18"/>
              </w:rPr>
              <w:t xml:space="preserve">Nice to Have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If MaiaEdge establishes a German subsidiary with 5+ employees, a works council may need to approve certain comp plan changes. Flag for legal review before entity is formalized.</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Guarantee of minimum variable (German law)</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German courts have in some cases treated variable comp as guaranteed minimum if targets become unachievable. Suggest adding: 'In the event that the Company fails to provide Markus Hendrik with sufficient opportunity to earn the variable compensation target through no fault of his own, the parties will negotiate in good faith an appropriate adjustment.' Consult German employment counsel before finalizing.</w:t>
            </w:r>
          </w:p>
        </w:tc>
      </w:tr>
    </w:tbl>
    <w:p>
      <w:pPr>
        <w:spacing w:after="12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6.  Professional Conduct &amp; Compliance</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1400"/>
        <w:gridCol w:w="5160"/>
      </w:tblGrid>
      <w:tr>
        <w:trPr>
          <w:tblHeader/>
        </w:trPr>
        <w:tc>
          <w:tcPr>
            <w:tcW w:type="dxa" w:w="28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Standard Term / Clause</w:t>
            </w:r>
          </w:p>
        </w:tc>
        <w:tc>
          <w:tcPr>
            <w:tcW w:type="dxa" w:w="14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Status</w:t>
            </w:r>
          </w:p>
        </w:tc>
        <w:tc>
          <w:tcPr>
            <w:tcW w:type="dxa" w:w="516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Recommendation / Suggested Language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Anti-corruption / no side agreements</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Okta explicitly prohibits assigning any compensation to customers as inducements and bars side agreements. Suggest adding: 'Representative agrees not to offer, authorize, or provide anything of value to a customer or prospect as an inducement for business, and agrees not to enter into any side agreement with any customer outside of Company-approved contracts.'</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CRM hygiene requirement</w:t>
            </w:r>
          </w:p>
        </w:tc>
        <w:tc>
          <w:tcPr>
            <w:tcW w:type="dxa" w:w="1400"/>
            <w:tcBorders>
              <w:top w:val="single" w:color="CCCCCC" w:sz="4"/>
              <w:left w:val="single" w:color="CCCCCC" w:sz="4"/>
              <w:bottom w:val="single" w:color="CCCCCC" w:sz="4"/>
              <w:right w:val="single" w:color="CCCCCC" w:sz="4"/>
            </w:tcBorders>
            <w:shd w:fill="FFF2CC" w:val="clear"/>
            <w:tcMar>
              <w:top w:type="dxa" w:w="60"/>
              <w:left w:type="dxa" w:w="120"/>
              <w:bottom w:type="dxa" w:w="60"/>
              <w:right w:type="dxa" w:w="80"/>
            </w:tcMar>
          </w:tcPr>
          <w:p>
            <w:r>
              <w:rPr>
                <w:rFonts w:ascii="Arial" w:cs="Arial" w:eastAsia="Arial" w:hAnsi="Arial"/>
                <w:b/>
                <w:bCs/>
                <w:sz w:val="18"/>
                <w:szCs w:val="18"/>
              </w:rPr>
              <w:t xml:space="preserve">Nice to Have</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Many plans (Okta included) tie commission eligibility to CRM accuracy: 'Representatives must maintain timely and accurate CRM records. The Company reserves the right to withhold commissions on deals not properly logged.' Useful for RevOps discipline.</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Confidentiality of plan terms</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Suggest adding: 'The terms of this plan are confidential. Representative agrees not to disclose plan details, commission rates, or quota amounts to any third party, including other employees, without written authorization from the CRO.'</w:t>
            </w:r>
          </w:p>
        </w:tc>
      </w:tr>
      <w:tr>
        <w:tc>
          <w:tcPr>
            <w:tcW w:type="dxa" w:w="28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sz w:val="19"/>
                <w:szCs w:val="19"/>
              </w:rPr>
              <w:t xml:space="preserve">Entire agreement / supersedes prior oral agreements</w:t>
            </w:r>
          </w:p>
        </w:tc>
        <w:tc>
          <w:tcPr>
            <w:tcW w:type="dxa" w:w="14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80"/>
            </w:tcMar>
          </w:tcPr>
          <w:p>
            <w:r>
              <w:rPr>
                <w:rFonts w:ascii="Arial" w:cs="Arial" w:eastAsia="Arial" w:hAnsi="Arial"/>
                <w:b/>
                <w:bCs/>
                <w:sz w:val="18"/>
                <w:szCs w:val="18"/>
              </w:rPr>
              <w:t xml:space="preserve">Add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sz w:val="19"/>
                <w:szCs w:val="19"/>
              </w:rPr>
              <w:t xml:space="preserve">Standard and important. Suggest: 'This plan constitutes the entire agreement between the parties with respect to sales incentive compensation and supersedes all prior oral or written understandings, representations, or agreements on the subject.'</w:t>
            </w:r>
          </w:p>
        </w:tc>
      </w:tr>
    </w:tbl>
    <w:p>
      <w:pPr>
        <w:spacing w:after="120" w:before="0"/>
      </w:pPr>
      <w:r>
        <w:t xml:space="preserve"/>
      </w:r>
    </w:p>
    <w:p>
      <w:pPr>
        <w:pBdr>
          <w:bottom w:val="single" w:color="D4A017" w:sz="6" w:space="4"/>
        </w:pBdr>
        <w:spacing w:after="100" w:before="280"/>
      </w:pPr>
      <w:r>
        <w:rPr>
          <w:rFonts w:ascii="Arial" w:cs="Arial" w:eastAsia="Arial" w:hAnsi="Arial"/>
          <w:b/>
          <w:bCs/>
          <w:color w:val="1A3A5C"/>
          <w:sz w:val="28"/>
          <w:szCs w:val="28"/>
        </w:rPr>
        <w:t xml:space="preserve">7.  Priority Recommendations — What to Add Now</w:t>
      </w:r>
    </w:p>
    <w:p>
      <w:pPr>
        <w:spacing w:after="50" w:before="50"/>
      </w:pPr>
      <w:r>
        <w:rPr>
          <w:rFonts w:ascii="Arial" w:cs="Arial" w:eastAsia="Arial" w:hAnsi="Arial"/>
          <w:sz w:val="21"/>
          <w:szCs w:val="21"/>
        </w:rPr>
        <w:t xml:space="preserve">The following terms are missing from the current plans and are recommended for immediate inclusion before execution. They appear in virtually every enterprise comp plan and address the most common post-signature disputes.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2600"/>
        <w:gridCol w:w="6160"/>
      </w:tblGrid>
      <w:tr>
        <w:trPr>
          <w:tblHeader/>
        </w:trPr>
        <w:tc>
          <w:tcPr>
            <w:tcW w:type="dxa" w:w="600"/>
            <w:tcBorders>
              <w:top w:val="single" w:color="1A3A5C" w:sz="4"/>
              <w:left w:val="single" w:color="1A3A5C" w:sz="4"/>
              <w:bottom w:val="single" w:color="1A3A5C" w:sz="4"/>
              <w:right w:val="single" w:color="1A3A5C" w:sz="4"/>
            </w:tcBorders>
            <w:shd w:fill="1A3A5C" w:val="clear"/>
            <w:tcMar>
              <w:top w:type="dxa" w:w="60"/>
              <w:left w:type="dxa" w:w="80"/>
              <w:bottom w:type="dxa" w:w="60"/>
              <w:right w:type="dxa" w:w="80"/>
            </w:tcMar>
          </w:tcPr>
          <w:p>
            <w:r>
              <w:rPr>
                <w:rFonts w:ascii="Arial" w:cs="Arial" w:eastAsia="Arial" w:hAnsi="Arial"/>
                <w:b/>
                <w:bCs/>
                <w:color w:val="FFFFFF"/>
                <w:sz w:val="19"/>
                <w:szCs w:val="19"/>
              </w:rPr>
              <w:t xml:space="preserve">#</w:t>
            </w:r>
          </w:p>
        </w:tc>
        <w:tc>
          <w:tcPr>
            <w:tcW w:type="dxa" w:w="260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Term</w:t>
            </w:r>
          </w:p>
        </w:tc>
        <w:tc>
          <w:tcPr>
            <w:tcW w:type="dxa" w:w="6160"/>
            <w:tcBorders>
              <w:top w:val="single" w:color="1A3A5C" w:sz="4"/>
              <w:left w:val="single" w:color="1A3A5C" w:sz="4"/>
              <w:bottom w:val="single" w:color="1A3A5C" w:sz="4"/>
              <w:right w:val="single" w:color="1A3A5C" w:sz="4"/>
            </w:tcBorders>
            <w:shd w:fill="1A3A5C" w:val="clear"/>
            <w:tcMar>
              <w:top w:type="dxa" w:w="60"/>
              <w:left w:type="dxa" w:w="120"/>
              <w:bottom w:type="dxa" w:w="60"/>
              <w:right w:type="dxa" w:w="80"/>
            </w:tcMar>
          </w:tcPr>
          <w:p>
            <w:r>
              <w:rPr>
                <w:rFonts w:ascii="Arial" w:cs="Arial" w:eastAsia="Arial" w:hAnsi="Arial"/>
                <w:b/>
                <w:bCs/>
                <w:color w:val="FFFFFF"/>
                <w:sz w:val="19"/>
                <w:szCs w:val="19"/>
              </w:rPr>
              <w:t xml:space="preserve">Suggested Language to Insert</w:t>
            </w:r>
          </w:p>
        </w:tc>
      </w:tr>
      <w:tr>
        <w:tc>
          <w:tcPr>
            <w:tcW w:type="dxa" w:w="600"/>
            <w:tcBorders>
              <w:top w:val="single" w:color="CCCCCC" w:sz="4"/>
              <w:left w:val="single" w:color="CCCCCC" w:sz="4"/>
              <w:bottom w:val="single" w:color="CCCCCC" w:sz="4"/>
              <w:right w:val="single" w:color="CCCCCC" w:sz="4"/>
            </w:tcBorders>
            <w:shd w:fill="EEF4FB" w:val="clear"/>
            <w:tcMar>
              <w:top w:type="dxa" w:w="60"/>
              <w:left w:type="dxa" w:w="80"/>
              <w:bottom w:type="dxa" w:w="60"/>
              <w:right w:type="dxa" w:w="80"/>
            </w:tcMar>
          </w:tcPr>
          <w:p>
            <w:r>
              <w:rPr>
                <w:rFonts w:ascii="Arial" w:cs="Arial" w:eastAsia="Arial" w:hAnsi="Arial"/>
                <w:b/>
                <w:bCs/>
                <w:sz w:val="19"/>
                <w:szCs w:val="19"/>
              </w:rPr>
              <w:t xml:space="preserve">1</w:t>
            </w:r>
          </w:p>
        </w:tc>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b/>
                <w:bCs/>
                <w:sz w:val="19"/>
                <w:szCs w:val="19"/>
              </w:rPr>
              <w:t xml:space="preserve">Plan modification rights (sole discretion)</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i/>
                <w:iCs/>
                <w:sz w:val="19"/>
                <w:szCs w:val="19"/>
              </w:rPr>
              <w:t xml:space="preserve">'The Company reserves the right to modify, amend, or terminate this plan at any time in its sole discretion, with written notice to the representative. Plan changes will not apply retroactively to commissions already earned and calculable.'</w:t>
            </w:r>
          </w:p>
        </w:tc>
      </w:tr>
      <w:tr>
        <w:tc>
          <w:tcPr>
            <w:tcW w:type="dxa" w:w="600"/>
            <w:tcBorders>
              <w:top w:val="single" w:color="CCCCCC" w:sz="4"/>
              <w:left w:val="single" w:color="CCCCCC" w:sz="4"/>
              <w:bottom w:val="single" w:color="CCCCCC" w:sz="4"/>
              <w:right w:val="single" w:color="CCCCCC" w:sz="4"/>
            </w:tcBorders>
            <w:shd w:fill="EEF4FB" w:val="clear"/>
            <w:tcMar>
              <w:top w:type="dxa" w:w="60"/>
              <w:left w:type="dxa" w:w="80"/>
              <w:bottom w:type="dxa" w:w="60"/>
              <w:right w:type="dxa" w:w="80"/>
            </w:tcMar>
          </w:tcPr>
          <w:p>
            <w:r>
              <w:rPr>
                <w:rFonts w:ascii="Arial" w:cs="Arial" w:eastAsia="Arial" w:hAnsi="Arial"/>
                <w:b/>
                <w:bCs/>
                <w:sz w:val="19"/>
                <w:szCs w:val="19"/>
              </w:rPr>
              <w:t xml:space="preserve">2</w:t>
            </w:r>
          </w:p>
        </w:tc>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b/>
                <w:bCs/>
                <w:sz w:val="19"/>
                <w:szCs w:val="19"/>
              </w:rPr>
              <w:t xml:space="preserve">Plan is not a contract of employment</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i/>
                <w:iCs/>
                <w:sz w:val="19"/>
                <w:szCs w:val="19"/>
              </w:rPr>
              <w:t xml:space="preserve">'This plan does not constitute a contract of employment. The Company's right to terminate the employment relationship at any time, with or without cause, is not affected by this plan.'</w:t>
            </w:r>
          </w:p>
        </w:tc>
      </w:tr>
      <w:tr>
        <w:tc>
          <w:tcPr>
            <w:tcW w:type="dxa" w:w="600"/>
            <w:tcBorders>
              <w:top w:val="single" w:color="CCCCCC" w:sz="4"/>
              <w:left w:val="single" w:color="CCCCCC" w:sz="4"/>
              <w:bottom w:val="single" w:color="CCCCCC" w:sz="4"/>
              <w:right w:val="single" w:color="CCCCCC" w:sz="4"/>
            </w:tcBorders>
            <w:shd w:fill="EEF4FB" w:val="clear"/>
            <w:tcMar>
              <w:top w:type="dxa" w:w="60"/>
              <w:left w:type="dxa" w:w="80"/>
              <w:bottom w:type="dxa" w:w="60"/>
              <w:right w:type="dxa" w:w="80"/>
            </w:tcMar>
          </w:tcPr>
          <w:p>
            <w:r>
              <w:rPr>
                <w:rFonts w:ascii="Arial" w:cs="Arial" w:eastAsia="Arial" w:hAnsi="Arial"/>
                <w:b/>
                <w:bCs/>
                <w:sz w:val="19"/>
                <w:szCs w:val="19"/>
              </w:rPr>
              <w:t xml:space="preserve">3</w:t>
            </w:r>
          </w:p>
        </w:tc>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b/>
                <w:bCs/>
                <w:sz w:val="19"/>
                <w:szCs w:val="19"/>
              </w:rPr>
              <w:t xml:space="preserve">Dispute resolution authority</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i/>
                <w:iCs/>
                <w:sz w:val="19"/>
                <w:szCs w:val="19"/>
              </w:rPr>
              <w:t xml:space="preserve">'All disputes regarding commission calculations, quota credit, or plan interpretation will be resolved by the CRO in their sole and absolute discretion. Decisions are final and binding. Disputes must be submitted in writing within 30 days of the applicable monthly commission statement.'</w:t>
            </w:r>
          </w:p>
        </w:tc>
      </w:tr>
      <w:tr>
        <w:tc>
          <w:tcPr>
            <w:tcW w:type="dxa" w:w="600"/>
            <w:tcBorders>
              <w:top w:val="single" w:color="CCCCCC" w:sz="4"/>
              <w:left w:val="single" w:color="CCCCCC" w:sz="4"/>
              <w:bottom w:val="single" w:color="CCCCCC" w:sz="4"/>
              <w:right w:val="single" w:color="CCCCCC" w:sz="4"/>
            </w:tcBorders>
            <w:shd w:fill="EEF4FB" w:val="clear"/>
            <w:tcMar>
              <w:top w:type="dxa" w:w="60"/>
              <w:left w:type="dxa" w:w="80"/>
              <w:bottom w:type="dxa" w:w="60"/>
              <w:right w:type="dxa" w:w="80"/>
            </w:tcMar>
          </w:tcPr>
          <w:p>
            <w:r>
              <w:rPr>
                <w:rFonts w:ascii="Arial" w:cs="Arial" w:eastAsia="Arial" w:hAnsi="Arial"/>
                <w:b/>
                <w:bCs/>
                <w:sz w:val="19"/>
                <w:szCs w:val="19"/>
              </w:rPr>
              <w:t xml:space="preserve">4</w:t>
            </w:r>
          </w:p>
        </w:tc>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b/>
                <w:bCs/>
                <w:sz w:val="19"/>
                <w:szCs w:val="19"/>
              </w:rPr>
              <w:t xml:space="preserve">Termination — earned commissions</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i/>
                <w:iCs/>
                <w:sz w:val="19"/>
                <w:szCs w:val="19"/>
              </w:rPr>
              <w:t xml:space="preserve">'Upon termination for any reason, the representative will be paid all earned and calculable commissions through their last date of employment. No commissions accrue after the termination date. The Company reserves the right to offset any outstanding recoverable draw balance from final wages to the extent permitted by applicable law.'</w:t>
            </w:r>
          </w:p>
        </w:tc>
      </w:tr>
      <w:tr>
        <w:tc>
          <w:tcPr>
            <w:tcW w:type="dxa" w:w="600"/>
            <w:tcBorders>
              <w:top w:val="single" w:color="CCCCCC" w:sz="4"/>
              <w:left w:val="single" w:color="CCCCCC" w:sz="4"/>
              <w:bottom w:val="single" w:color="CCCCCC" w:sz="4"/>
              <w:right w:val="single" w:color="CCCCCC" w:sz="4"/>
            </w:tcBorders>
            <w:shd w:fill="EEF4FB" w:val="clear"/>
            <w:tcMar>
              <w:top w:type="dxa" w:w="60"/>
              <w:left w:type="dxa" w:w="80"/>
              <w:bottom w:type="dxa" w:w="60"/>
              <w:right w:type="dxa" w:w="80"/>
            </w:tcMar>
          </w:tcPr>
          <w:p>
            <w:r>
              <w:rPr>
                <w:rFonts w:ascii="Arial" w:cs="Arial" w:eastAsia="Arial" w:hAnsi="Arial"/>
                <w:b/>
                <w:bCs/>
                <w:sz w:val="19"/>
                <w:szCs w:val="19"/>
              </w:rPr>
              <w:t xml:space="preserve">5</w:t>
            </w:r>
          </w:p>
        </w:tc>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b/>
                <w:bCs/>
                <w:sz w:val="19"/>
                <w:szCs w:val="19"/>
              </w:rPr>
              <w:t xml:space="preserve">Misrepresentation clawback</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i/>
                <w:iCs/>
                <w:sz w:val="19"/>
                <w:szCs w:val="19"/>
              </w:rPr>
              <w:t xml:space="preserve">'Commissions earned on bookings obtained through misrepresentation, fraud, or violation of Company policy are subject to full recovery by the Company without limitation as to time.'</w:t>
            </w:r>
          </w:p>
        </w:tc>
      </w:tr>
      <w:tr>
        <w:tc>
          <w:tcPr>
            <w:tcW w:type="dxa" w:w="600"/>
            <w:tcBorders>
              <w:top w:val="single" w:color="CCCCCC" w:sz="4"/>
              <w:left w:val="single" w:color="CCCCCC" w:sz="4"/>
              <w:bottom w:val="single" w:color="CCCCCC" w:sz="4"/>
              <w:right w:val="single" w:color="CCCCCC" w:sz="4"/>
            </w:tcBorders>
            <w:shd w:fill="EEF4FB" w:val="clear"/>
            <w:tcMar>
              <w:top w:type="dxa" w:w="60"/>
              <w:left w:type="dxa" w:w="80"/>
              <w:bottom w:type="dxa" w:w="60"/>
              <w:right w:type="dxa" w:w="80"/>
            </w:tcMar>
          </w:tcPr>
          <w:p>
            <w:r>
              <w:rPr>
                <w:rFonts w:ascii="Arial" w:cs="Arial" w:eastAsia="Arial" w:hAnsi="Arial"/>
                <w:b/>
                <w:bCs/>
                <w:sz w:val="19"/>
                <w:szCs w:val="19"/>
              </w:rPr>
              <w:t xml:space="preserve">6</w:t>
            </w:r>
          </w:p>
        </w:tc>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b/>
                <w:bCs/>
                <w:sz w:val="19"/>
                <w:szCs w:val="19"/>
              </w:rPr>
              <w:t xml:space="preserve">Qualifying booking definition</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i/>
                <w:iCs/>
                <w:sz w:val="19"/>
                <w:szCs w:val="19"/>
              </w:rPr>
              <w:t xml:space="preserve">'A booking qualifies for commission when: (a) a bilateral contract is fully executed, (b) the contract is recorded in the Company CRM system, and (c) the contract start date is within 30 days of execution date. Contracts with delayed start dates become qualifying bookings 30 days prior to the contract start date.'</w:t>
            </w:r>
          </w:p>
        </w:tc>
      </w:tr>
      <w:tr>
        <w:tc>
          <w:tcPr>
            <w:tcW w:type="dxa" w:w="600"/>
            <w:tcBorders>
              <w:top w:val="single" w:color="CCCCCC" w:sz="4"/>
              <w:left w:val="single" w:color="CCCCCC" w:sz="4"/>
              <w:bottom w:val="single" w:color="CCCCCC" w:sz="4"/>
              <w:right w:val="single" w:color="CCCCCC" w:sz="4"/>
            </w:tcBorders>
            <w:shd w:fill="EEF4FB" w:val="clear"/>
            <w:tcMar>
              <w:top w:type="dxa" w:w="60"/>
              <w:left w:type="dxa" w:w="80"/>
              <w:bottom w:type="dxa" w:w="60"/>
              <w:right w:type="dxa" w:w="80"/>
            </w:tcMar>
          </w:tcPr>
          <w:p>
            <w:r>
              <w:rPr>
                <w:rFonts w:ascii="Arial" w:cs="Arial" w:eastAsia="Arial" w:hAnsi="Arial"/>
                <w:b/>
                <w:bCs/>
                <w:sz w:val="19"/>
                <w:szCs w:val="19"/>
              </w:rPr>
              <w:t xml:space="preserve">7</w:t>
            </w:r>
          </w:p>
        </w:tc>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b/>
                <w:bCs/>
                <w:sz w:val="19"/>
                <w:szCs w:val="19"/>
              </w:rPr>
              <w:t xml:space="preserve">Entire agreement clause</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i/>
                <w:iCs/>
                <w:sz w:val="19"/>
                <w:szCs w:val="19"/>
              </w:rPr>
              <w:t xml:space="preserve">'This plan constitutes the entire agreement between the parties with respect to sales incentive compensation and supersedes all prior oral or written representations, understandings, or agreements on the subject.'</w:t>
            </w:r>
          </w:p>
        </w:tc>
      </w:tr>
      <w:tr>
        <w:tc>
          <w:tcPr>
            <w:tcW w:type="dxa" w:w="600"/>
            <w:tcBorders>
              <w:top w:val="single" w:color="CCCCCC" w:sz="4"/>
              <w:left w:val="single" w:color="CCCCCC" w:sz="4"/>
              <w:bottom w:val="single" w:color="CCCCCC" w:sz="4"/>
              <w:right w:val="single" w:color="CCCCCC" w:sz="4"/>
            </w:tcBorders>
            <w:shd w:fill="EEF4FB" w:val="clear"/>
            <w:tcMar>
              <w:top w:type="dxa" w:w="60"/>
              <w:left w:type="dxa" w:w="80"/>
              <w:bottom w:type="dxa" w:w="60"/>
              <w:right w:type="dxa" w:w="80"/>
            </w:tcMar>
          </w:tcPr>
          <w:p>
            <w:r>
              <w:rPr>
                <w:rFonts w:ascii="Arial" w:cs="Arial" w:eastAsia="Arial" w:hAnsi="Arial"/>
                <w:b/>
                <w:bCs/>
                <w:sz w:val="19"/>
                <w:szCs w:val="19"/>
              </w:rPr>
              <w:t xml:space="preserve">8</w:t>
            </w:r>
          </w:p>
        </w:tc>
        <w:tc>
          <w:tcPr>
            <w:tcW w:type="dxa" w:w="2600"/>
            <w:tcBorders>
              <w:top w:val="single" w:color="CCCCCC" w:sz="4"/>
              <w:left w:val="single" w:color="CCCCCC" w:sz="4"/>
              <w:bottom w:val="single" w:color="CCCCCC" w:sz="4"/>
              <w:right w:val="single" w:color="CCCCCC" w:sz="4"/>
            </w:tcBorders>
            <w:shd w:fill="F8F8F8" w:val="clear"/>
            <w:tcMar>
              <w:top w:type="dxa" w:w="60"/>
              <w:left w:type="dxa" w:w="120"/>
              <w:bottom w:type="dxa" w:w="60"/>
              <w:right w:type="dxa" w:w="80"/>
            </w:tcMar>
          </w:tcPr>
          <w:p>
            <w:r>
              <w:rPr>
                <w:rFonts w:ascii="Arial" w:cs="Arial" w:eastAsia="Arial" w:hAnsi="Arial"/>
                <w:b/>
                <w:bCs/>
                <w:sz w:val="19"/>
                <w:szCs w:val="19"/>
              </w:rPr>
              <w:t xml:space="preserve">Confidentiality of plan terms</w:t>
            </w:r>
          </w:p>
        </w:tc>
        <w:tc>
          <w:tcPr>
            <w:tcW w:type="dxa" w:w="6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80"/>
            </w:tcMar>
          </w:tcPr>
          <w:p>
            <w:r>
              <w:rPr>
                <w:rFonts w:ascii="Arial" w:cs="Arial" w:eastAsia="Arial" w:hAnsi="Arial"/>
                <w:i/>
                <w:iCs/>
                <w:sz w:val="19"/>
                <w:szCs w:val="19"/>
              </w:rPr>
              <w:t xml:space="preserve">'The terms of this plan, including commission rates, quota amounts, and payment mechanics, are confidential and may not be disclosed to third parties, including other employees, without written authorization from the CRO.'</w:t>
            </w:r>
          </w:p>
        </w:tc>
      </w:tr>
    </w:tbl>
    <w:p>
      <w:pPr>
        <w:spacing w:after="120" w:before="0"/>
      </w:pPr>
      <w:r>
        <w:t xml:space="preserve"/>
      </w:r>
    </w:p>
    <w:p>
      <w:pPr>
        <w:spacing w:after="50" w:before="50"/>
      </w:pPr>
      <w:r>
        <w:rPr>
          <w:rFonts w:ascii="Arial" w:cs="Arial" w:eastAsia="Arial" w:hAnsi="Arial"/>
          <w:b/>
          <w:bCs/>
          <w:sz w:val="21"/>
          <w:szCs w:val="21"/>
        </w:rPr>
        <w:t xml:space="preserve">Sources:</w:t>
      </w:r>
    </w:p>
    <w:p>
      <w:pPr>
        <w:pStyle w:val="ListParagraph"/>
        <w:numPr>
          <w:ilvl w:val="0"/>
          <w:numId w:val="2"/>
        </w:numPr>
        <w:spacing w:after="30" w:before="30"/>
      </w:pPr>
      <w:r>
        <w:rPr>
          <w:rFonts w:ascii="Arial" w:cs="Arial" w:eastAsia="Arial" w:hAnsi="Arial"/>
          <w:sz w:val="21"/>
          <w:szCs w:val="21"/>
        </w:rPr>
        <w:t xml:space="preserve">Okta, Inc. FY26 Sales Incentive Terms &amp; Conditions — SEC Exhibit 10.1 (filed May 2025)</w:t>
      </w:r>
    </w:p>
    <w:p>
      <w:pPr>
        <w:pStyle w:val="ListParagraph"/>
        <w:numPr>
          <w:ilvl w:val="0"/>
          <w:numId w:val="2"/>
        </w:numPr>
        <w:spacing w:after="30" w:before="30"/>
      </w:pPr>
      <w:r>
        <w:rPr>
          <w:rFonts w:ascii="Arial" w:cs="Arial" w:eastAsia="Arial" w:hAnsi="Arial"/>
          <w:sz w:val="21"/>
          <w:szCs w:val="21"/>
        </w:rPr>
        <w:t xml:space="preserve">Sales Management Association: Sales Compensation Plan Policies &amp; Guidelines</w:t>
      </w:r>
    </w:p>
    <w:p>
      <w:pPr>
        <w:pStyle w:val="ListParagraph"/>
        <w:numPr>
          <w:ilvl w:val="0"/>
          <w:numId w:val="2"/>
        </w:numPr>
        <w:spacing w:after="30" w:before="30"/>
      </w:pPr>
      <w:r>
        <w:rPr>
          <w:rFonts w:ascii="Arial" w:cs="Arial" w:eastAsia="Arial" w:hAnsi="Arial"/>
          <w:sz w:val="21"/>
          <w:szCs w:val="21"/>
        </w:rPr>
        <w:t xml:space="preserve">CaptivateIQ Blog: Sales Commission Policies &amp; Agreements</w:t>
      </w:r>
    </w:p>
    <w:p>
      <w:pPr>
        <w:pStyle w:val="ListParagraph"/>
        <w:numPr>
          <w:ilvl w:val="0"/>
          <w:numId w:val="2"/>
        </w:numPr>
        <w:spacing w:after="30" w:before="30"/>
      </w:pPr>
      <w:r>
        <w:rPr>
          <w:rFonts w:ascii="Arial" w:cs="Arial" w:eastAsia="Arial" w:hAnsi="Arial"/>
          <w:sz w:val="21"/>
          <w:szCs w:val="21"/>
        </w:rPr>
        <w:t xml:space="preserve">Salesforce Blog: Clawback Clauses in Sales Compensation</w:t>
      </w:r>
    </w:p>
    <w:p>
      <w:pPr>
        <w:pStyle w:val="ListParagraph"/>
        <w:numPr>
          <w:ilvl w:val="0"/>
          <w:numId w:val="2"/>
        </w:numPr>
        <w:spacing w:after="30" w:before="30"/>
      </w:pPr>
      <w:r>
        <w:rPr>
          <w:rFonts w:ascii="Arial" w:cs="Arial" w:eastAsia="Arial" w:hAnsi="Arial"/>
          <w:sz w:val="21"/>
          <w:szCs w:val="21"/>
        </w:rPr>
        <w:t xml:space="preserve">Qobra Blog: Legal Obligations on Commission Plan Modification</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AAAAAA"/>
        <w:sz w:val="16"/>
        <w:szCs w:val="16"/>
      </w:rPr>
      <w:t xml:space="preserve">MaiaEdge, Inc.  |  Sales Comp Plan Standard Terms Review  |  </w:t>
    </w:r>
    <w:r>
      <w:rPr>
        <w:rFonts w:ascii="Arial" w:cs="Arial" w:eastAsia="Arial" w:hAnsi="Arial"/>
        <w:i/>
        <w:iCs/>
        <w:color w:val="AAAAA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2026-05-27T17:57:58.916Z</dcterms:created>
  <dcterms:modified xsi:type="dcterms:W3CDTF">2026-05-27T17:57:58.916Z</dcterms:modified>
</cp:coreProperties>
</file>

<file path=docProps/custom.xml><?xml version="1.0" encoding="utf-8"?>
<Properties xmlns="http://schemas.openxmlformats.org/officeDocument/2006/custom-properties" xmlns:vt="http://schemas.openxmlformats.org/officeDocument/2006/docPropsVTypes"/>
</file>