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Tory Teague</w:t>
      </w:r>
    </w:p>
    <w:p>
      <w:pPr>
        <w:jc w:val="center"/>
      </w:pPr>
      <w:r>
        <w:rPr>
          <w:rFonts w:ascii="Arial" w:cs="Arial" w:eastAsia="Arial" w:hAnsi="Arial"/>
          <w:color w:val="555555"/>
          <w:sz w:val="26"/>
          <w:szCs w:val="26"/>
        </w:rPr>
        <w:t xml:space="preserve">Regional Sales Manager</w:t>
      </w:r>
    </w:p>
    <w:p>
      <w:pPr>
        <w:jc w:val="center"/>
      </w:pPr>
      <w:r>
        <w:rPr>
          <w:rFonts w:ascii="Arial" w:cs="Arial" w:eastAsia="Arial" w:hAnsi="Arial"/>
          <w:color w:val="888888"/>
          <w:sz w:val="24"/>
          <w:szCs w:val="24"/>
        </w:rPr>
        <w:t xml:space="preserve">North America (Territory TBD)</w:t>
      </w:r>
    </w:p>
    <w:p>
      <w:pPr>
        <w:spacing w:after="200" w:before="0"/>
      </w:pPr>
      <w:r>
        <w:t xml:space="preserve"/>
      </w:r>
    </w:p>
    <w:p>
      <w:pPr>
        <w:jc w:val="center"/>
      </w:pPr>
      <w:r>
        <w:rPr>
          <w:rFonts w:ascii="Arial" w:cs="Arial" w:eastAsia="Arial" w:hAnsi="Arial"/>
          <w:color w:val="555555"/>
          <w:sz w:val="22"/>
          <w:szCs w:val="22"/>
        </w:rPr>
        <w:t xml:space="preserve">Effective Date: July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Tory Teague, Regional Sales Manager, for the Initial Plan Period of July 1 through December 31, 2026. A full-year plan will be issued on or before January 1, 2027. Tory Teague’s commission rate is a flat per-dollar rate based on prorated variable compensation divided by the annual quota, with no deceleration. Tory Teague is eligible for a non-recoverable monthly draw covering July through December 2026 as described below.</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2700"/>
        <w:gridCol w:w="3660"/>
      </w:tblGrid>
      <w:tr>
        <w:trPr>
          <w:tblHeader/>
        </w:trPr>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27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Annual Rate</w:t>
            </w:r>
          </w:p>
        </w:tc>
        <w:tc>
          <w:tcPr>
            <w:tcW w:type="dxa" w:w="36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H2 2026 (Jul 1–Dec 31)</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$170,500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(paid per payroll schedule)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at 100% Attainment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$139,500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$69,941</w:t>
            </w:r>
          </w:p>
        </w:tc>
      </w:tr>
      <w:tr>
        <w:trPr>
          <w:tblHeader w:val="false"/>
        </w:trPr>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OTE</w:t>
            </w:r>
          </w:p>
        </w:tc>
        <w:tc>
          <w:tcPr>
            <w:tcW w:type="dxa" w:w="27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$310,000</w:t>
            </w:r>
          </w:p>
        </w:tc>
        <w:tc>
          <w:tcPr>
            <w:tcW w:type="dxa" w:w="36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$155,191</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H2 ARR Quota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$2,050,000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55% / 45%</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Reporting Manager</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Tim Lieto, Area Vice President</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H2 2026 ARR Quota (Jul 1–Dec 31)</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$2,050,000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Individual ARR quota. Not shared with any other representative. Prorated from July 2, 2026 start date (183/365 of $139,500 annualized variable).</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 bookings dated July 2, 2026 or later.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Prorated Variable at 100% / Annual Quota = $69,941 / $2,050,000 = 3.41% (Variable prorated 183/365 days from July 2, 2026 start date)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every dollar of individually closed ARR at the flat base rate shown below. The rate does not decelerate above 100% of quota.</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qualifying ARR</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3.41% (flat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Flat rate from the first dollar; no deceleration</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and no cap. Commission accrues from the first closed deal at the flat rate above. The company’s mechanism for shaping H2 payout shifts from rate deceleration to the non-recoverable draw described in the next section.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H2 2026 Non-Recoverable Draw</w:t>
      </w:r>
    </w:p>
    <w:p>
      <w:pPr>
        <w:spacing w:after="60" w:before="60"/>
      </w:pPr>
      <w:r>
        <w:rPr>
          <w:rFonts w:ascii="Arial" w:cs="Arial" w:eastAsia="Arial" w:hAnsi="Arial"/>
          <w:sz w:val="22"/>
          <w:szCs w:val="22"/>
        </w:rPr>
        <w:t xml:space="preserve">Effective July 1, 2026, in addition to commissions earned under the structure above, Tory Teague is eligible for a non-recoverable monthly draw covering the second half of 2026. The non-recoverable draw and earned commissions are independent payments: total H2 2026 variable compensation equals the non-recoverable draw paid plus commissions earned at the flat base rate, with no netting between them.</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Prorated Variable at 100% (183/365 of $139,500)</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$69,941 (183/365 of $139,500 annualized variable; prorated from July 2, 2026 start date)</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Non-Recoverable Draw (H2 Total)</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$34,875</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 Draw Payment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$5,812.50, paid monthly July through December 2026 (6 installments)</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Commission-Earnable Variable (= Prorated Variable)</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$69,941</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Commission Rate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3.41% (Prorated Variable at 100% / Annual Quota = $69,941 / $2,050,000)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Employment Requirement</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Each monthly draw payment is earned only if Tory Teague is actively employed and in good standing on December 31, 2026. A representative who separates from the Company prior to December 31, 2026 forfeits the non-recoverable draw payments paid during the H2 period, and the Company may recover those payments from final wages to the extent permitted by applicable law.</w:t>
            </w:r>
          </w:p>
        </w:tc>
      </w:tr>
    </w:tbl>
    <w:p>
      <w:pPr>
        <w:spacing w:after="60" w:before="60"/>
      </w:pPr>
      <w:r>
        <w:rPr>
          <w:rFonts w:ascii="Arial" w:cs="Arial" w:eastAsia="Arial" w:hAnsi="Arial"/>
          <w:i/>
          <w:iCs/>
          <w:color w:val="555555"/>
          <w:sz w:val="22"/>
          <w:szCs w:val="22"/>
        </w:rPr>
        <w:t xml:space="preserve">Earned commissions continue to be paid under the 50% / 50% installment schedule described in the Commission Payment Schedule section, including the recoverable draw on the second installment. The non-recoverable draw is paid independently of, and in addition to, earned commissions.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sourced, managed, and closed by the representative in accordance with Company sales process guidelines.</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flat base commission rate continues to apply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Equity Compensation (Reference)</w:t>
      </w:r>
    </w:p>
    <w:p>
      <w:pPr>
        <w:spacing w:after="60" w:before="60"/>
      </w:pPr>
      <w:r>
        <w:rPr>
          <w:rFonts w:ascii="Arial" w:cs="Arial" w:eastAsia="Arial" w:hAnsi="Arial"/>
          <w:sz w:val="22"/>
          <w:szCs w:val="22"/>
        </w:rPr>
        <w:t xml:space="preserve">Per offer letter: 120,000 Incentive Shares (ISO Stock Options or RSUs, at employee election), subject to Board approval. Vesting: 25% cliff on July 1, 2027; remaining 75% in equal monthly installments over the following 36 months.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Name (Print):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2026-05-27T19:00:37.123Z</dcterms:created>
  <dcterms:modified xsi:type="dcterms:W3CDTF">2026-05-27T19:00:37.123Z</dcterms:modified>
</cp:coreProperties>
</file>

<file path=docProps/custom.xml><?xml version="1.0" encoding="utf-8"?>
<Properties xmlns="http://schemas.openxmlformats.org/officeDocument/2006/custom-properties" xmlns:vt="http://schemas.openxmlformats.org/officeDocument/2006/docPropsVTypes"/>
</file>