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pPr>
      <w:r>
        <w:t xml:space="preserve"/>
      </w:r>
    </w:p>
    <w:p>
      <w:pPr>
        <w:spacing w:after="120" w:before="0"/>
        <w:jc w:val="center"/>
      </w:pPr>
      <w:r>
        <w:drawing>
          <wp:inline distT="0" distB="0" distL="0" distR="0">
            <wp:extent cx="24003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400300" cy="685800"/>
                    </a:xfrm>
                    <a:prstGeom prst="rect">
                      <a:avLst/>
                    </a:prstGeom>
                  </pic:spPr>
                </pic:pic>
              </a:graphicData>
            </a:graphic>
          </wp:inline>
        </w:drawing>
      </w:r>
    </w:p>
    <w:p>
      <w:pPr>
        <w:spacing w:after="120" w:before="0"/>
      </w:pPr>
      <w:r>
        <w:t xml:space="preserve"/>
      </w:r>
    </w:p>
    <w:p>
      <w:pPr>
        <w:jc w:val="center"/>
      </w:pPr>
      <w:r>
        <w:rPr>
          <w:rFonts w:ascii="Arial" w:cs="Arial" w:eastAsia="Arial" w:hAnsi="Arial"/>
          <w:b/>
          <w:bCs/>
          <w:color w:val="1A3A5C"/>
          <w:sz w:val="40"/>
          <w:szCs w:val="40"/>
        </w:rPr>
        <w:t xml:space="preserve">MaiaEdge, Inc.</w:t>
      </w:r>
    </w:p>
    <w:p>
      <w:pPr>
        <w:jc w:val="center"/>
      </w:pPr>
      <w:r>
        <w:rPr>
          <w:rFonts w:ascii="Arial" w:cs="Arial" w:eastAsia="Arial" w:hAnsi="Arial"/>
          <w:b/>
          <w:bCs/>
          <w:color w:val="D4A017"/>
          <w:sz w:val="32"/>
          <w:szCs w:val="32"/>
        </w:rPr>
        <w:t xml:space="preserve">Sales Compensation Plan</w:t>
      </w:r>
    </w:p>
    <w:p>
      <w:pPr>
        <w:spacing w:after="80" w:before="0"/>
      </w:pPr>
      <w:r>
        <w:t xml:space="preserve"/>
      </w:r>
    </w:p>
    <w:p>
      <w:pPr>
        <w:pBdr>
          <w:top w:val="single" w:color="D4A017" w:sz="6" w:space="4"/>
          <w:bottom w:val="single" w:color="D4A017" w:sz="6" w:space="4"/>
        </w:pBdr>
        <w:spacing w:after="80" w:before="80"/>
        <w:jc w:val="center"/>
      </w:pPr>
      <w:r>
        <w:rPr>
          <w:rFonts w:ascii="Arial" w:cs="Arial" w:eastAsia="Arial" w:hAnsi="Arial"/>
          <w:color w:val="555555"/>
          <w:sz w:val="26"/>
          <w:szCs w:val="26"/>
        </w:rPr>
        <w:t xml:space="preserve">Fiscal Year 2026</w:t>
      </w:r>
    </w:p>
    <w:p>
      <w:pPr>
        <w:spacing w:after="240" w:before="0"/>
      </w:pPr>
      <w:r>
        <w:t xml:space="preserve"/>
      </w:r>
    </w:p>
    <w:p>
      <w:pPr>
        <w:jc w:val="center"/>
      </w:pPr>
      <w:r>
        <w:rPr>
          <w:rFonts w:ascii="Arial" w:cs="Arial" w:eastAsia="Arial" w:hAnsi="Arial"/>
          <w:b/>
          <w:bCs/>
          <w:color w:val="1A3A5C"/>
          <w:sz w:val="34"/>
          <w:szCs w:val="34"/>
        </w:rPr>
        <w:t xml:space="preserve">Tory Teague</w:t>
      </w:r>
    </w:p>
    <w:p>
      <w:pPr>
        <w:jc w:val="center"/>
      </w:pPr>
      <w:r>
        <w:rPr>
          <w:rFonts w:ascii="Arial" w:cs="Arial" w:eastAsia="Arial" w:hAnsi="Arial"/>
          <w:color w:val="555555"/>
          <w:sz w:val="26"/>
          <w:szCs w:val="26"/>
        </w:rPr>
        <w:t xml:space="preserve">Regional Sales Manager</w:t>
      </w:r>
    </w:p>
    <w:p>
      <w:pPr>
        <w:jc w:val="center"/>
      </w:pPr>
      <w:r>
        <w:rPr>
          <w:rFonts w:ascii="Arial" w:cs="Arial" w:eastAsia="Arial" w:hAnsi="Arial"/>
          <w:color w:val="888888"/>
          <w:sz w:val="24"/>
          <w:szCs w:val="24"/>
        </w:rPr>
        <w:t xml:space="preserve">North America (Territory TBD)</w:t>
      </w:r>
    </w:p>
    <w:p>
      <w:pPr>
        <w:spacing w:after="200" w:before="0"/>
      </w:pPr>
      <w:r>
        <w:t xml:space="preserve"/>
      </w:r>
    </w:p>
    <w:p>
      <w:pPr>
        <w:jc w:val="center"/>
      </w:pPr>
      <w:r>
        <w:rPr>
          <w:rFonts w:ascii="Arial" w:cs="Arial" w:eastAsia="Arial" w:hAnsi="Arial"/>
          <w:color w:val="555555"/>
          <w:sz w:val="22"/>
          <w:szCs w:val="22"/>
        </w:rPr>
        <w:t xml:space="preserve">Effective Date: July 1, 2026</w:t>
      </w:r>
    </w:p>
    <w:p>
      <w:pPr>
        <w:jc w:val="center"/>
      </w:pPr>
      <w:r>
        <w:rPr>
          <w:rFonts w:ascii="Arial" w:cs="Arial" w:eastAsia="Arial" w:hAnsi="Arial"/>
          <w:color w:val="555555"/>
          <w:sz w:val="22"/>
          <w:szCs w:val="22"/>
        </w:rPr>
        <w:t xml:space="preserve">Currency: USD</w:t>
      </w:r>
    </w:p>
    <w:p>
      <w:pPr>
        <w:spacing w:after="400" w:before="0"/>
      </w:pPr>
      <w:r>
        <w:t xml:space="preserve"/>
      </w:r>
    </w:p>
    <w:p>
      <w:pPr>
        <w:jc w:val="center"/>
      </w:pPr>
      <w:r>
        <w:rPr>
          <w:rFonts w:ascii="Arial" w:cs="Arial" w:eastAsia="Arial" w:hAnsi="Arial"/>
          <w:i/>
          <w:iCs/>
          <w:color w:val="AAAAAA"/>
          <w:sz w:val="18"/>
          <w:szCs w:val="18"/>
        </w:rPr>
        <w:t xml:space="preserve">CONFIDENTIAL</w:t>
      </w:r>
    </w:p>
    <w:p>
      <w:r>
        <w:br w:type="page"/>
      </w:r>
    </w:p>
    <w:p>
      <w:pPr>
        <w:pBdr>
          <w:bottom w:val="single" w:color="D4A017" w:sz="6" w:space="4"/>
        </w:pBdr>
        <w:spacing w:after="100" w:before="280"/>
      </w:pPr>
      <w:r>
        <w:rPr>
          <w:rFonts w:ascii="Arial" w:cs="Arial" w:eastAsia="Arial" w:hAnsi="Arial"/>
          <w:b/>
          <w:bCs/>
          <w:color w:val="1A3A5C"/>
          <w:sz w:val="28"/>
          <w:szCs w:val="28"/>
        </w:rPr>
        <w:t xml:space="preserve">Plan Overview</w:t>
      </w:r>
    </w:p>
    <w:p>
      <w:pPr>
        <w:spacing w:after="60" w:before="60"/>
      </w:pPr>
      <w:r>
        <w:rPr>
          <w:rFonts w:ascii="Arial" w:cs="Arial" w:eastAsia="Arial" w:hAnsi="Arial"/>
          <w:sz w:val="22"/>
          <w:szCs w:val="22"/>
        </w:rPr>
        <w:t xml:space="preserve">This Sales Compensation Plan sets forth the variable compensation structure for Tory Teague, Regional Sales Manager, for the Initial Plan Period of July 1 through December 31, 2026. A full-year plan will be issued on or before January 1, 2027.</w:t>
      </w:r>
    </w:p>
    <w:p>
      <w:pPr>
        <w:pBdr>
          <w:bottom w:val="single" w:color="D4A017" w:sz="6" w:space="4"/>
        </w:pBdr>
        <w:spacing w:after="100" w:before="280"/>
      </w:pPr>
      <w:r>
        <w:rPr>
          <w:rFonts w:ascii="Arial" w:cs="Arial" w:eastAsia="Arial" w:hAnsi="Arial"/>
          <w:b/>
          <w:bCs/>
          <w:color w:val="1A3A5C"/>
          <w:sz w:val="28"/>
          <w:szCs w:val="28"/>
        </w:rPr>
        <w:t xml:space="preserve">Compensation Summary</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000"/>
        <w:gridCol w:w="2700"/>
        <w:gridCol w:w="3660"/>
      </w:tblGrid>
      <w:tr>
        <w:trPr>
          <w:tblHeader/>
        </w:trPr>
        <w:tc>
          <w:tcPr>
            <w:tcW w:type="dxa" w:w="3000"/>
            <w:tcBorders>
              <w:top w:val="single" w:color="1A3A5C" w:sz="4"/>
              <w:left w:val="single" w:color="1A3A5C" w:sz="4"/>
              <w:bottom w:val="single" w:color="1A3A5C" w:sz="4"/>
              <w:right w:val="single" w:color="1A3A5C" w:sz="4"/>
            </w:tcBorders>
            <w:shd w:fill="1A3A5C" w:val="clear"/>
            <w:tcMar>
              <w:top w:type="dxa" w:w="80"/>
              <w:left w:type="dxa" w:w="160"/>
              <w:bottom w:type="dxa" w:w="80"/>
              <w:right w:type="dxa" w:w="120"/>
            </w:tcMar>
          </w:tcPr>
          <w:p>
            <w:r>
              <w:rPr>
                <w:rFonts w:ascii="Arial" w:cs="Arial" w:eastAsia="Arial" w:hAnsi="Arial"/>
                <w:b/>
                <w:bCs/>
                <w:color w:val="FFFFFF"/>
                <w:sz w:val="20"/>
                <w:szCs w:val="20"/>
              </w:rPr>
              <w:t xml:space="preserve">Element</w:t>
            </w:r>
          </w:p>
        </w:tc>
        <w:tc>
          <w:tcPr>
            <w:tcW w:type="dxa" w:w="2700"/>
            <w:tcBorders>
              <w:top w:val="single" w:color="1A3A5C" w:sz="4"/>
              <w:left w:val="single" w:color="1A3A5C" w:sz="4"/>
              <w:bottom w:val="single" w:color="1A3A5C" w:sz="4"/>
              <w:right w:val="single" w:color="1A3A5C" w:sz="4"/>
            </w:tcBorders>
            <w:shd w:fill="1A3A5C" w:val="clear"/>
            <w:tcMar>
              <w:top w:type="dxa" w:w="80"/>
              <w:left w:type="dxa" w:w="160"/>
              <w:bottom w:type="dxa" w:w="80"/>
              <w:right w:type="dxa" w:w="120"/>
            </w:tcMar>
          </w:tcPr>
          <w:p>
            <w:r>
              <w:rPr>
                <w:rFonts w:ascii="Arial" w:cs="Arial" w:eastAsia="Arial" w:hAnsi="Arial"/>
                <w:b/>
                <w:bCs/>
                <w:color w:val="FFFFFF"/>
                <w:sz w:val="20"/>
                <w:szCs w:val="20"/>
              </w:rPr>
              <w:t xml:space="preserve">Annual Rate</w:t>
            </w:r>
          </w:p>
        </w:tc>
        <w:tc>
          <w:tcPr>
            <w:tcW w:type="dxa" w:w="3660"/>
            <w:tcBorders>
              <w:top w:val="single" w:color="1A3A5C" w:sz="4"/>
              <w:left w:val="single" w:color="1A3A5C" w:sz="4"/>
              <w:bottom w:val="single" w:color="1A3A5C" w:sz="4"/>
              <w:right w:val="single" w:color="1A3A5C" w:sz="4"/>
            </w:tcBorders>
            <w:shd w:fill="1A3A5C" w:val="clear"/>
            <w:tcMar>
              <w:top w:type="dxa" w:w="80"/>
              <w:left w:type="dxa" w:w="160"/>
              <w:bottom w:type="dxa" w:w="80"/>
              <w:right w:type="dxa" w:w="120"/>
            </w:tcMar>
          </w:tcPr>
          <w:p>
            <w:r>
              <w:rPr>
                <w:rFonts w:ascii="Arial" w:cs="Arial" w:eastAsia="Arial" w:hAnsi="Arial"/>
                <w:b/>
                <w:bCs/>
                <w:color w:val="FFFFFF"/>
                <w:sz w:val="20"/>
                <w:szCs w:val="20"/>
              </w:rPr>
              <w:t xml:space="preserve">H2 2026 (Jul 1–Dec 31)</w:t>
            </w:r>
          </w:p>
        </w:tc>
      </w:tr>
      <w:tr>
        <w:trPr>
          <w:tblHeader w:val="false"/>
        </w:trPr>
        <w:tc>
          <w:tcPr>
            <w:tcW w:type="dxa" w:w="30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20"/>
            </w:tcMar>
          </w:tcPr>
          <w:p>
            <w:r>
              <w:rPr>
                <w:rFonts w:ascii="Arial" w:cs="Arial" w:eastAsia="Arial" w:hAnsi="Arial"/>
                <w:b w:val="false"/>
                <w:bCs w:val="false"/>
                <w:color w:val="000000"/>
                <w:sz w:val="20"/>
                <w:szCs w:val="20"/>
              </w:rPr>
              <w:t xml:space="preserve">Base Salary</w:t>
            </w:r>
          </w:p>
        </w:tc>
        <w:tc>
          <w:tcPr>
            <w:tcW w:type="dxa" w:w="27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$170,500</w:t>
            </w:r>
          </w:p>
        </w:tc>
        <w:tc>
          <w:tcPr>
            <w:tcW w:type="dxa" w:w="36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  (paid per payroll schedule)</w:t>
            </w:r>
          </w:p>
        </w:tc>
      </w:tr>
      <w:tr>
        <w:trPr>
          <w:tblHeader w:val="false"/>
        </w:trPr>
        <w:tc>
          <w:tcPr>
            <w:tcW w:type="dxa" w:w="30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20"/>
            </w:tcMar>
          </w:tcPr>
          <w:p>
            <w:r>
              <w:rPr>
                <w:rFonts w:ascii="Arial" w:cs="Arial" w:eastAsia="Arial" w:hAnsi="Arial"/>
                <w:b w:val="false"/>
                <w:bCs w:val="false"/>
                <w:color w:val="000000"/>
                <w:sz w:val="20"/>
                <w:szCs w:val="20"/>
              </w:rPr>
              <w:t xml:space="preserve">Variable at 100% Attainment</w:t>
            </w:r>
          </w:p>
        </w:tc>
        <w:tc>
          <w:tcPr>
            <w:tcW w:type="dxa" w:w="27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$139,500</w:t>
            </w:r>
          </w:p>
        </w:tc>
        <w:tc>
          <w:tcPr>
            <w:tcW w:type="dxa" w:w="36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$69,750</w:t>
            </w:r>
          </w:p>
        </w:tc>
      </w:tr>
      <w:tr>
        <w:trPr>
          <w:tblHeader w:val="false"/>
        </w:trPr>
        <w:tc>
          <w:tcPr>
            <w:tcW w:type="dxa" w:w="3000"/>
            <w:tcBorders>
              <w:top w:val="single" w:color="CCCCCC" w:sz="4"/>
              <w:left w:val="single" w:color="CCCCCC" w:sz="4"/>
              <w:bottom w:val="single" w:color="CCCCCC" w:sz="4"/>
              <w:right w:val="single" w:color="CCCCCC" w:sz="4"/>
            </w:tcBorders>
            <w:shd w:fill="EEF4FB" w:val="clear"/>
            <w:tcMar>
              <w:top w:type="dxa" w:w="80"/>
              <w:left w:type="dxa" w:w="160"/>
              <w:bottom w:type="dxa" w:w="80"/>
              <w:right w:type="dxa" w:w="120"/>
            </w:tcMar>
          </w:tcPr>
          <w:p>
            <w:r>
              <w:rPr>
                <w:rFonts w:ascii="Arial" w:cs="Arial" w:eastAsia="Arial" w:hAnsi="Arial"/>
                <w:b w:val="false"/>
                <w:bCs w:val="false"/>
                <w:color w:val="000000"/>
                <w:sz w:val="20"/>
                <w:szCs w:val="20"/>
              </w:rPr>
              <w:t xml:space="preserve">OTE</w:t>
            </w:r>
          </w:p>
        </w:tc>
        <w:tc>
          <w:tcPr>
            <w:tcW w:type="dxa" w:w="2700"/>
            <w:tcBorders>
              <w:top w:val="single" w:color="CCCCCC" w:sz="4"/>
              <w:left w:val="single" w:color="CCCCCC" w:sz="4"/>
              <w:bottom w:val="single" w:color="CCCCCC" w:sz="4"/>
              <w:right w:val="single" w:color="CCCCCC" w:sz="4"/>
            </w:tcBorders>
            <w:shd w:fill="EEF4FB" w:val="clear"/>
            <w:tcMar>
              <w:top w:type="dxa" w:w="80"/>
              <w:left w:type="dxa" w:w="160"/>
              <w:bottom w:type="dxa" w:w="80"/>
              <w:right w:type="dxa" w:w="120"/>
            </w:tcMar>
          </w:tcPr>
          <w:p>
            <w:r>
              <w:rPr>
                <w:rFonts w:ascii="Arial" w:cs="Arial" w:eastAsia="Arial" w:hAnsi="Arial"/>
                <w:b w:val="false"/>
                <w:bCs w:val="false"/>
                <w:color w:val="000000"/>
                <w:sz w:val="20"/>
                <w:szCs w:val="20"/>
              </w:rPr>
              <w:t xml:space="preserve">$310,000</w:t>
            </w:r>
          </w:p>
        </w:tc>
        <w:tc>
          <w:tcPr>
            <w:tcW w:type="dxa" w:w="3660"/>
            <w:tcBorders>
              <w:top w:val="single" w:color="CCCCCC" w:sz="4"/>
              <w:left w:val="single" w:color="CCCCCC" w:sz="4"/>
              <w:bottom w:val="single" w:color="CCCCCC" w:sz="4"/>
              <w:right w:val="single" w:color="CCCCCC" w:sz="4"/>
            </w:tcBorders>
            <w:shd w:fill="EEF4FB" w:val="clear"/>
            <w:tcMar>
              <w:top w:type="dxa" w:w="80"/>
              <w:left w:type="dxa" w:w="160"/>
              <w:bottom w:type="dxa" w:w="80"/>
              <w:right w:type="dxa" w:w="120"/>
            </w:tcMar>
          </w:tcPr>
          <w:p>
            <w:r>
              <w:rPr>
                <w:rFonts w:ascii="Arial" w:cs="Arial" w:eastAsia="Arial" w:hAnsi="Arial"/>
                <w:b w:val="false"/>
                <w:bCs w:val="false"/>
                <w:color w:val="000000"/>
                <w:sz w:val="20"/>
                <w:szCs w:val="20"/>
              </w:rPr>
              <w:t xml:space="preserve">$154,750</w:t>
            </w:r>
          </w:p>
        </w:tc>
      </w:tr>
      <w:tr>
        <w:trPr>
          <w:tblHeader w:val="false"/>
        </w:trPr>
        <w:tc>
          <w:tcPr>
            <w:tcW w:type="dxa" w:w="30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20"/>
            </w:tcMar>
          </w:tcPr>
          <w:p>
            <w:r>
              <w:rPr>
                <w:rFonts w:ascii="Arial" w:cs="Arial" w:eastAsia="Arial" w:hAnsi="Arial"/>
                <w:b w:val="false"/>
                <w:bCs w:val="false"/>
                <w:color w:val="000000"/>
                <w:sz w:val="20"/>
                <w:szCs w:val="20"/>
              </w:rPr>
              <w:t xml:space="preserve">H2 ARR Quota</w:t>
            </w:r>
          </w:p>
        </w:tc>
        <w:tc>
          <w:tcPr>
            <w:tcW w:type="dxa" w:w="27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w:t>
            </w:r>
          </w:p>
        </w:tc>
        <w:tc>
          <w:tcPr>
            <w:tcW w:type="dxa" w:w="36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$750,000</w:t>
            </w:r>
          </w:p>
        </w:tc>
      </w:tr>
      <w:tr>
        <w:trPr>
          <w:tblHeader w:val="false"/>
        </w:trPr>
        <w:tc>
          <w:tcPr>
            <w:tcW w:type="dxa" w:w="30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20"/>
            </w:tcMar>
          </w:tcPr>
          <w:p>
            <w:r>
              <w:rPr>
                <w:rFonts w:ascii="Arial" w:cs="Arial" w:eastAsia="Arial" w:hAnsi="Arial"/>
                <w:b w:val="false"/>
                <w:bCs w:val="false"/>
                <w:color w:val="000000"/>
                <w:sz w:val="20"/>
                <w:szCs w:val="20"/>
              </w:rPr>
              <w:t xml:space="preserve">Pay Mix (Base / Variable)</w:t>
            </w:r>
          </w:p>
        </w:tc>
        <w:tc>
          <w:tcPr>
            <w:tcW w:type="dxa" w:w="27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55% / 45%</w:t>
            </w:r>
          </w:p>
        </w:tc>
        <w:tc>
          <w:tcPr>
            <w:tcW w:type="dxa" w:w="36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
            </w:r>
          </w:p>
        </w:tc>
      </w:tr>
      <w:tr>
        <w:trPr>
          <w:tblHeader w:val="false"/>
        </w:trPr>
        <w:tc>
          <w:tcPr>
            <w:tcW w:type="dxa" w:w="30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20"/>
            </w:tcMar>
          </w:tcPr>
          <w:p>
            <w:r>
              <w:rPr>
                <w:rFonts w:ascii="Arial" w:cs="Arial" w:eastAsia="Arial" w:hAnsi="Arial"/>
                <w:b w:val="false"/>
                <w:bCs w:val="false"/>
                <w:color w:val="000000"/>
                <w:sz w:val="20"/>
                <w:szCs w:val="20"/>
              </w:rPr>
              <w:t xml:space="preserve">Currency</w:t>
            </w:r>
          </w:p>
        </w:tc>
        <w:tc>
          <w:tcPr>
            <w:tcW w:type="dxa" w:w="27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USD</w:t>
            </w:r>
          </w:p>
        </w:tc>
        <w:tc>
          <w:tcPr>
            <w:tcW w:type="dxa" w:w="36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
            </w:r>
          </w:p>
        </w:tc>
      </w:tr>
      <w:tr>
        <w:trPr>
          <w:tblHeader w:val="false"/>
        </w:trPr>
        <w:tc>
          <w:tcPr>
            <w:tcW w:type="dxa" w:w="30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20"/>
            </w:tcMar>
          </w:tcPr>
          <w:p>
            <w:r>
              <w:rPr>
                <w:rFonts w:ascii="Arial" w:cs="Arial" w:eastAsia="Arial" w:hAnsi="Arial"/>
                <w:b w:val="false"/>
                <w:bCs w:val="false"/>
                <w:color w:val="000000"/>
                <w:sz w:val="20"/>
                <w:szCs w:val="20"/>
              </w:rPr>
              <w:t xml:space="preserve">Base Salary Pay Frequency</w:t>
            </w:r>
          </w:p>
        </w:tc>
        <w:tc>
          <w:tcPr>
            <w:tcW w:type="dxa" w:w="27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Semi-monthly</w:t>
            </w:r>
          </w:p>
        </w:tc>
        <w:tc>
          <w:tcPr>
            <w:tcW w:type="dxa" w:w="36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
            </w:r>
          </w:p>
        </w:tc>
      </w:tr>
      <w:tr>
        <w:trPr>
          <w:tblHeader w:val="false"/>
        </w:trPr>
        <w:tc>
          <w:tcPr>
            <w:tcW w:type="dxa" w:w="30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20"/>
            </w:tcMar>
          </w:tcPr>
          <w:p>
            <w:r>
              <w:rPr>
                <w:rFonts w:ascii="Arial" w:cs="Arial" w:eastAsia="Arial" w:hAnsi="Arial"/>
                <w:b w:val="false"/>
                <w:bCs w:val="false"/>
                <w:color w:val="000000"/>
                <w:sz w:val="20"/>
                <w:szCs w:val="20"/>
              </w:rPr>
              <w:t xml:space="preserve">Commission Pay Frequency</w:t>
            </w:r>
          </w:p>
        </w:tc>
        <w:tc>
          <w:tcPr>
            <w:tcW w:type="dxa" w:w="27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Monthly</w:t>
            </w:r>
          </w:p>
        </w:tc>
        <w:tc>
          <w:tcPr>
            <w:tcW w:type="dxa" w:w="36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
            </w:r>
          </w:p>
        </w:tc>
      </w:tr>
      <w:tr>
        <w:trPr>
          <w:tblHeader w:val="false"/>
        </w:trPr>
        <w:tc>
          <w:tcPr>
            <w:tcW w:type="dxa" w:w="30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20"/>
            </w:tcMar>
          </w:tcPr>
          <w:p>
            <w:r>
              <w:rPr>
                <w:rFonts w:ascii="Arial" w:cs="Arial" w:eastAsia="Arial" w:hAnsi="Arial"/>
                <w:b w:val="false"/>
                <w:bCs w:val="false"/>
                <w:color w:val="000000"/>
                <w:sz w:val="20"/>
                <w:szCs w:val="20"/>
              </w:rPr>
              <w:t xml:space="preserve">Reporting Manager</w:t>
            </w:r>
          </w:p>
        </w:tc>
        <w:tc>
          <w:tcPr>
            <w:tcW w:type="dxa" w:w="27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Tim Lieto, Area Vice President</w:t>
            </w:r>
          </w:p>
        </w:tc>
        <w:tc>
          <w:tcPr>
            <w:tcW w:type="dxa" w:w="36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
            </w:r>
          </w:p>
        </w:tc>
      </w:tr>
    </w:tbl>
    <w:p>
      <w:pPr>
        <w:spacing w:after="80" w:before="0"/>
      </w:pPr>
      <w:r>
        <w:t xml:space="preserve"/>
      </w:r>
    </w:p>
    <w:p>
      <w:pPr>
        <w:pBdr>
          <w:bottom w:val="single" w:color="D4A017" w:sz="6" w:space="4"/>
        </w:pBdr>
        <w:spacing w:after="100" w:before="280"/>
      </w:pPr>
      <w:r>
        <w:rPr>
          <w:rFonts w:ascii="Arial" w:cs="Arial" w:eastAsia="Arial" w:hAnsi="Arial"/>
          <w:b/>
          <w:bCs/>
          <w:color w:val="1A3A5C"/>
          <w:sz w:val="28"/>
          <w:szCs w:val="28"/>
        </w:rPr>
        <w:t xml:space="preserve">Revenue Quota</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120"/>
        <w:gridCol w:w="6240"/>
      </w:tblGrid>
      <w:tr>
        <w:trPr>
          <w:tblHeader/>
        </w:trPr>
        <w:tc>
          <w:tcPr>
            <w:tcW w:type="dxa" w:w="3120"/>
            <w:tcBorders>
              <w:top w:val="single" w:color="1A3A5C" w:sz="4"/>
              <w:left w:val="single" w:color="1A3A5C" w:sz="4"/>
              <w:bottom w:val="single" w:color="1A3A5C" w:sz="4"/>
              <w:right w:val="single" w:color="1A3A5C" w:sz="4"/>
            </w:tcBorders>
            <w:shd w:fill="1A3A5C" w:val="clear"/>
            <w:tcMar>
              <w:top w:type="dxa" w:w="80"/>
              <w:left w:type="dxa" w:w="160"/>
              <w:bottom w:type="dxa" w:w="80"/>
              <w:right w:type="dxa" w:w="120"/>
            </w:tcMar>
          </w:tcPr>
          <w:p>
            <w:r>
              <w:rPr>
                <w:rFonts w:ascii="Arial" w:cs="Arial" w:eastAsia="Arial" w:hAnsi="Arial"/>
                <w:b/>
                <w:bCs/>
                <w:color w:val="FFFFFF"/>
                <w:sz w:val="20"/>
                <w:szCs w:val="20"/>
              </w:rPr>
              <w:t xml:space="preserve">Element</w:t>
            </w:r>
          </w:p>
        </w:tc>
        <w:tc>
          <w:tcPr>
            <w:tcW w:type="dxa" w:w="6240"/>
            <w:tcBorders>
              <w:top w:val="single" w:color="1A3A5C" w:sz="4"/>
              <w:left w:val="single" w:color="1A3A5C" w:sz="4"/>
              <w:bottom w:val="single" w:color="1A3A5C" w:sz="4"/>
              <w:right w:val="single" w:color="1A3A5C" w:sz="4"/>
            </w:tcBorders>
            <w:shd w:fill="1A3A5C" w:val="clear"/>
            <w:tcMar>
              <w:top w:type="dxa" w:w="80"/>
              <w:left w:type="dxa" w:w="160"/>
              <w:bottom w:type="dxa" w:w="80"/>
              <w:right w:type="dxa" w:w="120"/>
            </w:tcMar>
          </w:tcPr>
          <w:p>
            <w:r>
              <w:rPr>
                <w:rFonts w:ascii="Arial" w:cs="Arial" w:eastAsia="Arial" w:hAnsi="Arial"/>
                <w:b/>
                <w:bCs/>
                <w:color w:val="FFFFFF"/>
                <w:sz w:val="20"/>
                <w:szCs w:val="20"/>
              </w:rPr>
              <w:t xml:space="preserve">Detail</w:t>
            </w:r>
          </w:p>
        </w:tc>
      </w:tr>
      <w:tr>
        <w:trPr>
          <w:tblHeader w:val="false"/>
        </w:trPr>
        <w:tc>
          <w:tcPr>
            <w:tcW w:type="dxa" w:w="3120"/>
            <w:tcBorders>
              <w:top w:val="single" w:color="CCCCCC" w:sz="4"/>
              <w:left w:val="single" w:color="CCCCCC" w:sz="4"/>
              <w:bottom w:val="single" w:color="CCCCCC" w:sz="4"/>
              <w:right w:val="single" w:color="CCCCCC" w:sz="4"/>
            </w:tcBorders>
            <w:shd w:fill="EEF4FB" w:val="clear"/>
            <w:tcMar>
              <w:top w:type="dxa" w:w="80"/>
              <w:left w:type="dxa" w:w="160"/>
              <w:bottom w:type="dxa" w:w="80"/>
              <w:right w:type="dxa" w:w="120"/>
            </w:tcMar>
          </w:tcPr>
          <w:p>
            <w:r>
              <w:rPr>
                <w:rFonts w:ascii="Arial" w:cs="Arial" w:eastAsia="Arial" w:hAnsi="Arial"/>
                <w:b w:val="false"/>
                <w:bCs w:val="false"/>
                <w:color w:val="000000"/>
                <w:sz w:val="20"/>
                <w:szCs w:val="20"/>
              </w:rPr>
              <w:t xml:space="preserve">H2 2026 ARR Quota (Jul 1–Dec 31)</w:t>
            </w:r>
          </w:p>
        </w:tc>
        <w:tc>
          <w:tcPr>
            <w:tcW w:type="dxa" w:w="6240"/>
            <w:tcBorders>
              <w:top w:val="single" w:color="CCCCCC" w:sz="4"/>
              <w:left w:val="single" w:color="CCCCCC" w:sz="4"/>
              <w:bottom w:val="single" w:color="CCCCCC" w:sz="4"/>
              <w:right w:val="single" w:color="CCCCCC" w:sz="4"/>
            </w:tcBorders>
            <w:shd w:fill="EEF4FB" w:val="clear"/>
            <w:tcMar>
              <w:top w:type="dxa" w:w="80"/>
              <w:left w:type="dxa" w:w="160"/>
              <w:bottom w:type="dxa" w:w="80"/>
              <w:right w:type="dxa" w:w="120"/>
            </w:tcMar>
          </w:tcPr>
          <w:p>
            <w:r>
              <w:rPr>
                <w:rFonts w:ascii="Arial" w:cs="Arial" w:eastAsia="Arial" w:hAnsi="Arial"/>
                <w:b w:val="false"/>
                <w:bCs w:val="false"/>
                <w:color w:val="000000"/>
                <w:sz w:val="20"/>
                <w:szCs w:val="20"/>
              </w:rPr>
              <w:t xml:space="preserve">$750,000</w:t>
            </w:r>
          </w:p>
        </w:tc>
      </w:tr>
      <w:tr>
        <w:trPr>
          <w:tblHeader w:val="false"/>
        </w:trPr>
        <w:tc>
          <w:tcPr>
            <w:tcW w:type="dxa" w:w="312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20"/>
            </w:tcMar>
          </w:tcPr>
          <w:p>
            <w:r>
              <w:rPr>
                <w:rFonts w:ascii="Arial" w:cs="Arial" w:eastAsia="Arial" w:hAnsi="Arial"/>
                <w:b w:val="false"/>
                <w:bCs w:val="false"/>
                <w:color w:val="000000"/>
                <w:sz w:val="20"/>
                <w:szCs w:val="20"/>
              </w:rPr>
              <w:t xml:space="preserve">Quota Structure</w:t>
            </w:r>
          </w:p>
        </w:tc>
        <w:tc>
          <w:tcPr>
            <w:tcW w:type="dxa" w:w="624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Individual quota, independent from the $1,700,000 North America group number held by Tim Lieto and Ken Cunningham.</w:t>
            </w:r>
          </w:p>
        </w:tc>
      </w:tr>
      <w:tr>
        <w:trPr>
          <w:tblHeader w:val="false"/>
        </w:trPr>
        <w:tc>
          <w:tcPr>
            <w:tcW w:type="dxa" w:w="312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20"/>
            </w:tcMar>
          </w:tcPr>
          <w:p>
            <w:r>
              <w:rPr>
                <w:rFonts w:ascii="Arial" w:cs="Arial" w:eastAsia="Arial" w:hAnsi="Arial"/>
                <w:b w:val="false"/>
                <w:bCs w:val="false"/>
                <w:color w:val="000000"/>
                <w:sz w:val="20"/>
                <w:szCs w:val="20"/>
              </w:rPr>
              <w:t xml:space="preserve">Metric</w:t>
            </w:r>
          </w:p>
        </w:tc>
        <w:tc>
          <w:tcPr>
            <w:tcW w:type="dxa" w:w="624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Annual Recurring Revenue (ARR) only; bookings dated July 1, 2026 or later.</w:t>
            </w:r>
          </w:p>
        </w:tc>
      </w:tr>
      <w:tr>
        <w:trPr>
          <w:tblHeader w:val="false"/>
        </w:trPr>
        <w:tc>
          <w:tcPr>
            <w:tcW w:type="dxa" w:w="312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20"/>
            </w:tcMar>
          </w:tcPr>
          <w:p>
            <w:r>
              <w:rPr>
                <w:rFonts w:ascii="Arial" w:cs="Arial" w:eastAsia="Arial" w:hAnsi="Arial"/>
                <w:b w:val="false"/>
                <w:bCs w:val="false"/>
                <w:color w:val="000000"/>
                <w:sz w:val="20"/>
                <w:szCs w:val="20"/>
              </w:rPr>
              <w:t xml:space="preserve">Professional Services</w:t>
            </w:r>
          </w:p>
        </w:tc>
        <w:tc>
          <w:tcPr>
            <w:tcW w:type="dxa" w:w="624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Not eligible for commission</w:t>
            </w:r>
          </w:p>
        </w:tc>
      </w:tr>
    </w:tbl>
    <w:p>
      <w:pPr>
        <w:spacing w:after="80" w:before="0"/>
      </w:pPr>
      <w:r>
        <w:t xml:space="preserve"/>
      </w:r>
    </w:p>
    <w:p>
      <w:pPr>
        <w:spacing w:after="80" w:before="200"/>
      </w:pPr>
      <w:r>
        <w:rPr>
          <w:rFonts w:ascii="Arial" w:cs="Arial" w:eastAsia="Arial" w:hAnsi="Arial"/>
          <w:b/>
          <w:bCs/>
          <w:color w:val="1A3A5C"/>
          <w:sz w:val="24"/>
          <w:szCs w:val="24"/>
        </w:rPr>
        <w:t xml:space="preserve">Base Commission Rate</w:t>
      </w:r>
    </w:p>
    <w:p>
      <w:pPr>
        <w:spacing w:after="60" w:before="60"/>
      </w:pPr>
      <w:r>
        <w:rPr>
          <w:rFonts w:ascii="Arial" w:cs="Arial" w:eastAsia="Arial" w:hAnsi="Arial"/>
          <w:sz w:val="22"/>
          <w:szCs w:val="22"/>
        </w:rPr>
        <w:t xml:space="preserve">Base Rate = H2 Variable Target / H2 Quota = $69,750 / $750,000 = 9.3%</w:t>
      </w:r>
    </w:p>
    <w:p>
      <w:pPr>
        <w:spacing w:after="80" w:before="0"/>
      </w:pPr>
      <w:r>
        <w:t xml:space="preserve"/>
      </w:r>
    </w:p>
    <w:p>
      <w:pPr>
        <w:pBdr>
          <w:bottom w:val="single" w:color="D4A017" w:sz="6" w:space="4"/>
        </w:pBdr>
        <w:spacing w:after="100" w:before="280"/>
      </w:pPr>
      <w:r>
        <w:rPr>
          <w:rFonts w:ascii="Arial" w:cs="Arial" w:eastAsia="Arial" w:hAnsi="Arial"/>
          <w:b/>
          <w:bCs/>
          <w:color w:val="1A3A5C"/>
          <w:sz w:val="28"/>
          <w:szCs w:val="28"/>
        </w:rPr>
        <w:t xml:space="preserve">Commission Rate &amp; Attainment Schedule</w:t>
      </w:r>
    </w:p>
    <w:p>
      <w:pPr>
        <w:spacing w:after="60" w:before="60"/>
      </w:pPr>
      <w:r>
        <w:rPr>
          <w:rFonts w:ascii="Arial" w:cs="Arial" w:eastAsia="Arial" w:hAnsi="Arial"/>
          <w:sz w:val="22"/>
          <w:szCs w:val="22"/>
        </w:rPr>
        <w:t xml:space="preserve">Commission is earned on every dollar of individually closed ARR from the first booking, at the base rate shown below. The rate decelerates above 100% of quota to protect company economics while preserving full incentive to hit plan.</w:t>
      </w:r>
    </w:p>
    <w:p>
      <w:pPr>
        <w:spacing w:after="6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800"/>
        <w:gridCol w:w="3000"/>
        <w:gridCol w:w="3560"/>
      </w:tblGrid>
      <w:tr>
        <w:trPr>
          <w:tblHeader/>
        </w:trPr>
        <w:tc>
          <w:tcPr>
            <w:tcW w:type="dxa" w:w="2800"/>
            <w:tcBorders>
              <w:top w:val="single" w:color="1A3A5C" w:sz="4"/>
              <w:left w:val="single" w:color="1A3A5C" w:sz="4"/>
              <w:bottom w:val="single" w:color="1A3A5C" w:sz="4"/>
              <w:right w:val="single" w:color="1A3A5C" w:sz="4"/>
            </w:tcBorders>
            <w:shd w:fill="1A3A5C" w:val="clear"/>
            <w:tcMar>
              <w:top w:type="dxa" w:w="80"/>
              <w:left w:type="dxa" w:w="160"/>
              <w:bottom w:type="dxa" w:w="80"/>
              <w:right w:type="dxa" w:w="120"/>
            </w:tcMar>
          </w:tcPr>
          <w:p>
            <w:r>
              <w:rPr>
                <w:rFonts w:ascii="Arial" w:cs="Arial" w:eastAsia="Arial" w:hAnsi="Arial"/>
                <w:b/>
                <w:bCs/>
                <w:color w:val="FFFFFF"/>
                <w:sz w:val="20"/>
                <w:szCs w:val="20"/>
              </w:rPr>
              <w:t xml:space="preserve">Attainment vs. Annual Quota</w:t>
            </w:r>
          </w:p>
        </w:tc>
        <w:tc>
          <w:tcPr>
            <w:tcW w:type="dxa" w:w="3000"/>
            <w:tcBorders>
              <w:top w:val="single" w:color="1A3A5C" w:sz="4"/>
              <w:left w:val="single" w:color="1A3A5C" w:sz="4"/>
              <w:bottom w:val="single" w:color="1A3A5C" w:sz="4"/>
              <w:right w:val="single" w:color="1A3A5C" w:sz="4"/>
            </w:tcBorders>
            <w:shd w:fill="1A3A5C" w:val="clear"/>
            <w:tcMar>
              <w:top w:type="dxa" w:w="80"/>
              <w:left w:type="dxa" w:w="160"/>
              <w:bottom w:type="dxa" w:w="80"/>
              <w:right w:type="dxa" w:w="120"/>
            </w:tcMar>
          </w:tcPr>
          <w:p>
            <w:r>
              <w:rPr>
                <w:rFonts w:ascii="Arial" w:cs="Arial" w:eastAsia="Arial" w:hAnsi="Arial"/>
                <w:b/>
                <w:bCs/>
                <w:color w:val="FFFFFF"/>
                <w:sz w:val="20"/>
                <w:szCs w:val="20"/>
              </w:rPr>
              <w:t xml:space="preserve">Rate Applied</w:t>
            </w:r>
          </w:p>
        </w:tc>
        <w:tc>
          <w:tcPr>
            <w:tcW w:type="dxa" w:w="3560"/>
            <w:tcBorders>
              <w:top w:val="single" w:color="1A3A5C" w:sz="4"/>
              <w:left w:val="single" w:color="1A3A5C" w:sz="4"/>
              <w:bottom w:val="single" w:color="1A3A5C" w:sz="4"/>
              <w:right w:val="single" w:color="1A3A5C" w:sz="4"/>
            </w:tcBorders>
            <w:shd w:fill="1A3A5C" w:val="clear"/>
            <w:tcMar>
              <w:top w:type="dxa" w:w="80"/>
              <w:left w:type="dxa" w:w="160"/>
              <w:bottom w:type="dxa" w:w="80"/>
              <w:right w:type="dxa" w:w="120"/>
            </w:tcMar>
          </w:tcPr>
          <w:p>
            <w:r>
              <w:rPr>
                <w:rFonts w:ascii="Arial" w:cs="Arial" w:eastAsia="Arial" w:hAnsi="Arial"/>
                <w:b/>
                <w:bCs/>
                <w:color w:val="FFFFFF"/>
                <w:sz w:val="20"/>
                <w:szCs w:val="20"/>
              </w:rPr>
              <w:t xml:space="preserve">Notes</w:t>
            </w:r>
          </w:p>
        </w:tc>
      </w:tr>
      <w:tr>
        <w:trPr>
          <w:tblHeader w:val="false"/>
        </w:trPr>
        <w:tc>
          <w:tcPr>
            <w:tcW w:type="dxa" w:w="2800"/>
            <w:tcBorders>
              <w:top w:val="single" w:color="CCCCCC" w:sz="4"/>
              <w:left w:val="single" w:color="CCCCCC" w:sz="4"/>
              <w:bottom w:val="single" w:color="CCCCCC" w:sz="4"/>
              <w:right w:val="single" w:color="CCCCCC" w:sz="4"/>
            </w:tcBorders>
            <w:shd w:fill="EEF4FB" w:val="clear"/>
            <w:tcMar>
              <w:top w:type="dxa" w:w="80"/>
              <w:left w:type="dxa" w:w="160"/>
              <w:bottom w:type="dxa" w:w="80"/>
              <w:right w:type="dxa" w:w="120"/>
            </w:tcMar>
          </w:tcPr>
          <w:p>
            <w:r>
              <w:rPr>
                <w:rFonts w:ascii="Arial" w:cs="Arial" w:eastAsia="Arial" w:hAnsi="Arial"/>
                <w:b w:val="false"/>
                <w:bCs w:val="false"/>
                <w:color w:val="000000"/>
                <w:sz w:val="20"/>
                <w:szCs w:val="20"/>
              </w:rPr>
              <w:t xml:space="preserve">0% - 100%  (at or below plan)</w:t>
            </w:r>
          </w:p>
        </w:tc>
        <w:tc>
          <w:tcPr>
            <w:tcW w:type="dxa" w:w="3000"/>
            <w:tcBorders>
              <w:top w:val="single" w:color="CCCCCC" w:sz="4"/>
              <w:left w:val="single" w:color="CCCCCC" w:sz="4"/>
              <w:bottom w:val="single" w:color="CCCCCC" w:sz="4"/>
              <w:right w:val="single" w:color="CCCCCC" w:sz="4"/>
            </w:tcBorders>
            <w:shd w:fill="EEF4FB" w:val="clear"/>
            <w:tcMar>
              <w:top w:type="dxa" w:w="80"/>
              <w:left w:type="dxa" w:w="160"/>
              <w:bottom w:type="dxa" w:w="80"/>
              <w:right w:type="dxa" w:w="120"/>
            </w:tcMar>
          </w:tcPr>
          <w:p>
            <w:r>
              <w:rPr>
                <w:rFonts w:ascii="Arial" w:cs="Arial" w:eastAsia="Arial" w:hAnsi="Arial"/>
                <w:b w:val="false"/>
                <w:bCs w:val="false"/>
                <w:color w:val="000000"/>
                <w:sz w:val="20"/>
                <w:szCs w:val="20"/>
              </w:rPr>
              <w:t xml:space="preserve">9.3%  (full base rate)</w:t>
            </w:r>
          </w:p>
        </w:tc>
        <w:tc>
          <w:tcPr>
            <w:tcW w:type="dxa" w:w="3560"/>
            <w:tcBorders>
              <w:top w:val="single" w:color="CCCCCC" w:sz="4"/>
              <w:left w:val="single" w:color="CCCCCC" w:sz="4"/>
              <w:bottom w:val="single" w:color="CCCCCC" w:sz="4"/>
              <w:right w:val="single" w:color="CCCCCC" w:sz="4"/>
            </w:tcBorders>
            <w:shd w:fill="EEF4FB" w:val="clear"/>
            <w:tcMar>
              <w:top w:type="dxa" w:w="80"/>
              <w:left w:type="dxa" w:w="160"/>
              <w:bottom w:type="dxa" w:w="80"/>
              <w:right w:type="dxa" w:w="120"/>
            </w:tcMar>
          </w:tcPr>
          <w:p>
            <w:r>
              <w:rPr>
                <w:rFonts w:ascii="Arial" w:cs="Arial" w:eastAsia="Arial" w:hAnsi="Arial"/>
                <w:b w:val="false"/>
                <w:bCs w:val="false"/>
                <w:color w:val="000000"/>
                <w:sz w:val="20"/>
                <w:szCs w:val="20"/>
              </w:rPr>
              <w:t xml:space="preserve">Full rate from dollar one through 100% of quota</w:t>
            </w:r>
          </w:p>
        </w:tc>
      </w:tr>
      <w:tr>
        <w:trPr>
          <w:tblHeader w:val="false"/>
        </w:trPr>
        <w:tc>
          <w:tcPr>
            <w:tcW w:type="dxa" w:w="28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20"/>
            </w:tcMar>
          </w:tcPr>
          <w:p>
            <w:r>
              <w:rPr>
                <w:rFonts w:ascii="Arial" w:cs="Arial" w:eastAsia="Arial" w:hAnsi="Arial"/>
                <w:b w:val="false"/>
                <w:bCs w:val="false"/>
                <w:color w:val="000000"/>
                <w:sz w:val="20"/>
                <w:szCs w:val="20"/>
              </w:rPr>
              <w:t xml:space="preserve">Above 100%</w:t>
            </w:r>
          </w:p>
        </w:tc>
        <w:tc>
          <w:tcPr>
            <w:tcW w:type="dxa" w:w="30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7.44%  (base x 0.80)</w:t>
            </w:r>
          </w:p>
        </w:tc>
        <w:tc>
          <w:tcPr>
            <w:tcW w:type="dxa" w:w="35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Deceleration above plan; no cap on bookings</w:t>
            </w:r>
          </w:p>
        </w:tc>
      </w:tr>
    </w:tbl>
    <w:p>
      <w:pPr>
        <w:spacing w:after="60" w:before="0"/>
      </w:pPr>
      <w:r>
        <w:t xml:space="preserve"/>
      </w:r>
    </w:p>
    <w:p>
      <w:pPr>
        <w:spacing w:after="60" w:before="60"/>
      </w:pPr>
      <w:r>
        <w:rPr>
          <w:rFonts w:ascii="Arial" w:cs="Arial" w:eastAsia="Arial" w:hAnsi="Arial"/>
          <w:i/>
          <w:iCs/>
          <w:color w:val="555555"/>
          <w:sz w:val="22"/>
          <w:szCs w:val="22"/>
        </w:rPr>
        <w:t xml:space="preserve">There is no minimum attainment threshold. Commission accrues from the first closed deal. Above 100% of quota, the marginal rate decreases rather than increases, protecting the company from unplanned commission liability on unforecasted over-performance.</w:t>
      </w:r>
    </w:p>
    <w:p>
      <w:pPr>
        <w:spacing w:after="80" w:before="0"/>
      </w:pPr>
      <w:r>
        <w:t xml:space="preserve"/>
      </w:r>
    </w:p>
    <w:p>
      <w:pPr>
        <w:pBdr>
          <w:bottom w:val="single" w:color="D4A017" w:sz="6" w:space="4"/>
        </w:pBdr>
        <w:spacing w:after="100" w:before="280"/>
      </w:pPr>
      <w:r>
        <w:rPr>
          <w:rFonts w:ascii="Arial" w:cs="Arial" w:eastAsia="Arial" w:hAnsi="Arial"/>
          <w:b/>
          <w:bCs/>
          <w:color w:val="1A3A5C"/>
          <w:sz w:val="28"/>
          <w:szCs w:val="28"/>
        </w:rPr>
        <w:t xml:space="preserve">Commission Payment Schedule</w:t>
      </w:r>
    </w:p>
    <w:p>
      <w:pPr>
        <w:spacing w:after="60" w:before="60"/>
      </w:pPr>
      <w:r>
        <w:rPr>
          <w:rFonts w:ascii="Arial" w:cs="Arial" w:eastAsia="Arial" w:hAnsi="Arial"/>
          <w:sz w:val="22"/>
          <w:szCs w:val="22"/>
        </w:rPr>
        <w:t xml:space="preserve">All commissions are calculated on Annual Recurring Revenue (ARR) only. Professional services revenue is excluded. Commissions are calculated and paid on a monthly basis.</w:t>
      </w:r>
    </w:p>
    <w:p>
      <w:pPr>
        <w:spacing w:after="6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120"/>
        <w:gridCol w:w="6240"/>
      </w:tblGrid>
      <w:tr>
        <w:trPr>
          <w:tblHeader/>
        </w:trPr>
        <w:tc>
          <w:tcPr>
            <w:tcW w:type="dxa" w:w="3120"/>
            <w:tcBorders>
              <w:top w:val="single" w:color="1A3A5C" w:sz="4"/>
              <w:left w:val="single" w:color="1A3A5C" w:sz="4"/>
              <w:bottom w:val="single" w:color="1A3A5C" w:sz="4"/>
              <w:right w:val="single" w:color="1A3A5C" w:sz="4"/>
            </w:tcBorders>
            <w:shd w:fill="1A3A5C" w:val="clear"/>
            <w:tcMar>
              <w:top w:type="dxa" w:w="80"/>
              <w:left w:type="dxa" w:w="160"/>
              <w:bottom w:type="dxa" w:w="80"/>
              <w:right w:type="dxa" w:w="120"/>
            </w:tcMar>
          </w:tcPr>
          <w:p>
            <w:r>
              <w:rPr>
                <w:rFonts w:ascii="Arial" w:cs="Arial" w:eastAsia="Arial" w:hAnsi="Arial"/>
                <w:b/>
                <w:bCs/>
                <w:color w:val="FFFFFF"/>
                <w:sz w:val="20"/>
                <w:szCs w:val="20"/>
              </w:rPr>
              <w:t xml:space="preserve">Installment</w:t>
            </w:r>
          </w:p>
        </w:tc>
        <w:tc>
          <w:tcPr>
            <w:tcW w:type="dxa" w:w="6240"/>
            <w:tcBorders>
              <w:top w:val="single" w:color="1A3A5C" w:sz="4"/>
              <w:left w:val="single" w:color="1A3A5C" w:sz="4"/>
              <w:bottom w:val="single" w:color="1A3A5C" w:sz="4"/>
              <w:right w:val="single" w:color="1A3A5C" w:sz="4"/>
            </w:tcBorders>
            <w:shd w:fill="1A3A5C" w:val="clear"/>
            <w:tcMar>
              <w:top w:type="dxa" w:w="80"/>
              <w:left w:type="dxa" w:w="160"/>
              <w:bottom w:type="dxa" w:w="80"/>
              <w:right w:type="dxa" w:w="120"/>
            </w:tcMar>
          </w:tcPr>
          <w:p>
            <w:r>
              <w:rPr>
                <w:rFonts w:ascii="Arial" w:cs="Arial" w:eastAsia="Arial" w:hAnsi="Arial"/>
                <w:b/>
                <w:bCs/>
                <w:color w:val="FFFFFF"/>
                <w:sz w:val="20"/>
                <w:szCs w:val="20"/>
              </w:rPr>
              <w:t xml:space="preserve">Timing &amp; Trigger</w:t>
            </w:r>
          </w:p>
        </w:tc>
      </w:tr>
      <w:tr>
        <w:trPr>
          <w:tblHeader w:val="false"/>
        </w:trPr>
        <w:tc>
          <w:tcPr>
            <w:tcW w:type="dxa" w:w="312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20"/>
            </w:tcMar>
          </w:tcPr>
          <w:p>
            <w:r>
              <w:rPr>
                <w:rFonts w:ascii="Arial" w:cs="Arial" w:eastAsia="Arial" w:hAnsi="Arial"/>
                <w:b w:val="false"/>
                <w:bCs w:val="false"/>
                <w:color w:val="000000"/>
                <w:sz w:val="20"/>
                <w:szCs w:val="20"/>
              </w:rPr>
              <w:t xml:space="preserve">First — 50% of earned commission</w:t>
            </w:r>
          </w:p>
        </w:tc>
        <w:tc>
          <w:tcPr>
            <w:tcW w:type="dxa" w:w="624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Paid in the monthly commission payment following the month in which the order is accepted and booked in the Company CRM.</w:t>
            </w:r>
          </w:p>
        </w:tc>
      </w:tr>
      <w:tr>
        <w:trPr>
          <w:tblHeader w:val="false"/>
        </w:trPr>
        <w:tc>
          <w:tcPr>
            <w:tcW w:type="dxa" w:w="312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20"/>
            </w:tcMar>
          </w:tcPr>
          <w:p>
            <w:r>
              <w:rPr>
                <w:rFonts w:ascii="Arial" w:cs="Arial" w:eastAsia="Arial" w:hAnsi="Arial"/>
                <w:b w:val="false"/>
                <w:bCs w:val="false"/>
                <w:color w:val="000000"/>
                <w:sz w:val="20"/>
                <w:szCs w:val="20"/>
              </w:rPr>
              <w:t xml:space="preserve">Second — 50% of earned commission</w:t>
            </w:r>
          </w:p>
        </w:tc>
        <w:tc>
          <w:tcPr>
            <w:tcW w:type="dxa" w:w="624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Paid as a recoverable draw in the monthly commission payment following the month in which the Company receives the customer's first contracted payment.</w:t>
            </w:r>
          </w:p>
        </w:tc>
      </w:tr>
    </w:tbl>
    <w:p>
      <w:pPr>
        <w:spacing w:after="60" w:before="0"/>
      </w:pPr>
      <w:r>
        <w:t xml:space="preserve"/>
      </w:r>
    </w:p>
    <w:p>
      <w:pPr>
        <w:spacing w:after="60" w:before="60"/>
      </w:pPr>
      <w:r>
        <w:rPr>
          <w:rFonts w:ascii="Arial" w:cs="Arial" w:eastAsia="Arial" w:hAnsi="Arial"/>
          <w:sz w:val="22"/>
          <w:szCs w:val="22"/>
        </w:rPr>
        <w:t xml:space="preserve">The second installment is paid as a recoverable draw. If the customer fails to pay in full for the first year of the contract, the Company reserves the right to recover the second installment in full from the representative's future commission payments. The representative is expected to remain engaged with the account through the end of the customer's first contract year to support payment collection.</w:t>
      </w:r>
    </w:p>
    <w:p>
      <w:pPr>
        <w:spacing w:after="40" w:before="0"/>
      </w:pPr>
      <w:r>
        <w:t xml:space="preserve"/>
      </w:r>
    </w:p>
    <w:p>
      <w:pPr>
        <w:spacing w:after="60" w:before="60"/>
      </w:pPr>
      <w:r>
        <w:rPr>
          <w:rFonts w:ascii="Arial" w:cs="Arial" w:eastAsia="Arial" w:hAnsi="Arial"/>
          <w:i/>
          <w:iCs/>
          <w:color w:val="555555"/>
          <w:sz w:val="22"/>
          <w:szCs w:val="22"/>
        </w:rPr>
        <w:t xml:space="preserve">Recovery will be made by offsetting against future monthly commission payments. The Company will provide written notice of any recovery and the basis for it.</w:t>
      </w:r>
    </w:p>
    <w:p>
      <w:pPr>
        <w:spacing w:after="80" w:before="0"/>
      </w:pPr>
      <w:r>
        <w:t xml:space="preserve"/>
      </w:r>
    </w:p>
    <w:p>
      <w:pPr>
        <w:pBdr>
          <w:bottom w:val="single" w:color="D4A017" w:sz="6" w:space="4"/>
        </w:pBdr>
        <w:spacing w:after="100" w:before="280"/>
      </w:pPr>
      <w:r>
        <w:rPr>
          <w:rFonts w:ascii="Arial" w:cs="Arial" w:eastAsia="Arial" w:hAnsi="Arial"/>
          <w:b/>
          <w:bCs/>
          <w:color w:val="1A3A5C"/>
          <w:sz w:val="28"/>
          <w:szCs w:val="28"/>
        </w:rPr>
        <w:t xml:space="preserve">Qualifying Booking Definition</w:t>
      </w:r>
    </w:p>
    <w:p>
      <w:pPr>
        <w:spacing w:after="60" w:before="60"/>
      </w:pPr>
      <w:r>
        <w:rPr>
          <w:rFonts w:ascii="Arial" w:cs="Arial" w:eastAsia="Arial" w:hAnsi="Arial"/>
          <w:sz w:val="22"/>
          <w:szCs w:val="22"/>
        </w:rPr>
        <w:t xml:space="preserve">A booking qualifies for commission credit when all of the following conditions are met:</w:t>
      </w:r>
    </w:p>
    <w:p>
      <w:pPr>
        <w:pStyle w:val="ListParagraph"/>
        <w:numPr>
          <w:ilvl w:val="0"/>
          <w:numId w:val="2"/>
        </w:numPr>
        <w:spacing w:after="40" w:before="40"/>
      </w:pPr>
      <w:r>
        <w:rPr>
          <w:rFonts w:ascii="Arial" w:cs="Arial" w:eastAsia="Arial" w:hAnsi="Arial"/>
          <w:sz w:val="22"/>
          <w:szCs w:val="22"/>
        </w:rPr>
        <w:t xml:space="preserve">A bilateral contract is fully executed by authorized representatives of both MaiaEdge, Inc. and the customer;</w:t>
      </w:r>
    </w:p>
    <w:p>
      <w:pPr>
        <w:pStyle w:val="ListParagraph"/>
        <w:numPr>
          <w:ilvl w:val="0"/>
          <w:numId w:val="2"/>
        </w:numPr>
        <w:spacing w:after="40" w:before="40"/>
      </w:pPr>
      <w:r>
        <w:rPr>
          <w:rFonts w:ascii="Arial" w:cs="Arial" w:eastAsia="Arial" w:hAnsi="Arial"/>
          <w:sz w:val="22"/>
          <w:szCs w:val="22"/>
        </w:rPr>
        <w:t xml:space="preserve">The executed contract is logged in the Company CRM system within 5 business days of execution;</w:t>
      </w:r>
    </w:p>
    <w:p>
      <w:pPr>
        <w:pStyle w:val="ListParagraph"/>
        <w:numPr>
          <w:ilvl w:val="0"/>
          <w:numId w:val="2"/>
        </w:numPr>
        <w:spacing w:after="40" w:before="40"/>
      </w:pPr>
      <w:r>
        <w:rPr>
          <w:rFonts w:ascii="Arial" w:cs="Arial" w:eastAsia="Arial" w:hAnsi="Arial"/>
          <w:sz w:val="22"/>
          <w:szCs w:val="22"/>
        </w:rPr>
        <w:t xml:space="preserve">The contract start date is within 45 days of the execution date. Contracts with start dates beyond 45 days of execution become qualifying bookings 45 days prior to the stated contract start date; and</w:t>
      </w:r>
    </w:p>
    <w:p>
      <w:pPr>
        <w:pStyle w:val="ListParagraph"/>
        <w:numPr>
          <w:ilvl w:val="0"/>
          <w:numId w:val="2"/>
        </w:numPr>
        <w:spacing w:after="40" w:before="40"/>
      </w:pPr>
      <w:r>
        <w:rPr>
          <w:rFonts w:ascii="Arial" w:cs="Arial" w:eastAsia="Arial" w:hAnsi="Arial"/>
          <w:sz w:val="22"/>
          <w:szCs w:val="22"/>
        </w:rPr>
        <w:t xml:space="preserve">The deal was sourced, managed, and closed by the representative in accordance with Company sales process guidelines.</w:t>
      </w:r>
    </w:p>
    <w:p>
      <w:pPr>
        <w:spacing w:after="40" w:before="0"/>
      </w:pPr>
      <w:r>
        <w:t xml:space="preserve"/>
      </w:r>
    </w:p>
    <w:p>
      <w:pPr>
        <w:spacing w:after="60" w:before="60"/>
      </w:pPr>
      <w:r>
        <w:rPr>
          <w:rFonts w:ascii="Arial" w:cs="Arial" w:eastAsia="Arial" w:hAnsi="Arial"/>
          <w:sz w:val="22"/>
          <w:szCs w:val="22"/>
        </w:rPr>
        <w:t xml:space="preserve">Commission is calculated on the ARR value of the qualifying contract, as recognized in accordance with the Company's revenue recognition policy. Deals structured in a way that delays or reduces revenue recognition may be subject to commission adjustment by the CRO.</w:t>
      </w:r>
    </w:p>
    <w:p>
      <w:pPr>
        <w:spacing w:after="40" w:before="0"/>
      </w:pPr>
      <w:r>
        <w:t xml:space="preserve"/>
      </w:r>
    </w:p>
    <w:p>
      <w:pPr>
        <w:spacing w:after="60" w:before="60"/>
      </w:pPr>
      <w:r>
        <w:rPr>
          <w:rFonts w:ascii="Arial" w:cs="Arial" w:eastAsia="Arial" w:hAnsi="Arial"/>
          <w:i/>
          <w:iCs/>
          <w:color w:val="555555"/>
          <w:sz w:val="22"/>
          <w:szCs w:val="22"/>
        </w:rPr>
        <w:t xml:space="preserve">The Company reserves the right to decline to accept any transaction as a qualifying booking in its sole discretion, including without limitation deals that do not comply with Company pricing guidelines, sales process requirements, or contractual standards. The CRO's determination of whether a booking qualifies is final and binding.</w:t>
      </w:r>
    </w:p>
    <w:p>
      <w:pPr>
        <w:spacing w:after="80" w:before="0"/>
      </w:pPr>
      <w:r>
        <w:t xml:space="preserve"/>
      </w:r>
    </w:p>
    <w:p>
      <w:pPr>
        <w:pBdr>
          <w:bottom w:val="single" w:color="D4A017" w:sz="6" w:space="4"/>
        </w:pBdr>
        <w:spacing w:after="100" w:before="280"/>
      </w:pPr>
      <w:r>
        <w:rPr>
          <w:rFonts w:ascii="Arial" w:cs="Arial" w:eastAsia="Arial" w:hAnsi="Arial"/>
          <w:b/>
          <w:bCs/>
          <w:color w:val="1A3A5C"/>
          <w:sz w:val="28"/>
          <w:szCs w:val="28"/>
        </w:rPr>
        <w:t xml:space="preserve">Windfall Policy</w:t>
      </w:r>
    </w:p>
    <w:p>
      <w:pPr>
        <w:spacing w:after="60" w:before="60"/>
      </w:pPr>
      <w:r>
        <w:rPr>
          <w:rFonts w:ascii="Arial" w:cs="Arial" w:eastAsia="Arial" w:hAnsi="Arial"/>
          <w:sz w:val="22"/>
          <w:szCs w:val="22"/>
        </w:rPr>
        <w:t xml:space="preserve">The Company recognizes that market conditions, channel opportunities, or inbound customer initiatives may occasionally produce deals that fall outside the normal course of a representative's sales activity. The following policy applies to such events:</w:t>
      </w:r>
    </w:p>
    <w:p>
      <w:pPr>
        <w:spacing w:after="40" w:before="0"/>
      </w:pPr>
      <w:r>
        <w:t xml:space="preserve"/>
      </w:r>
    </w:p>
    <w:p>
      <w:pPr>
        <w:spacing w:after="60" w:before="60"/>
      </w:pPr>
      <w:r>
        <w:rPr>
          <w:rFonts w:ascii="Arial" w:cs="Arial" w:eastAsia="Arial" w:hAnsi="Arial"/>
          <w:b/>
          <w:bCs/>
          <w:sz w:val="22"/>
          <w:szCs w:val="22"/>
        </w:rPr>
        <w:t xml:space="preserve">Windfall Trigger:  </w:t>
      </w:r>
      <w:r>
        <w:rPr>
          <w:rFonts w:ascii="Arial" w:cs="Arial" w:eastAsia="Arial" w:hAnsi="Arial"/>
          <w:sz w:val="22"/>
          <w:szCs w:val="22"/>
        </w:rPr>
        <w:t xml:space="preserve">A deal may be reviewed under this policy if: (a) the ARR value of a single booking equals or exceeds 50% of the representative's annual quota, or (b) the deal was materially sourced or delivered by the Company outside of the representative's direct efforts.</w:t>
      </w:r>
    </w:p>
    <w:p>
      <w:pPr>
        <w:spacing w:after="40" w:before="0"/>
      </w:pPr>
      <w:r>
        <w:t xml:space="preserve"/>
      </w:r>
    </w:p>
    <w:p>
      <w:pPr>
        <w:spacing w:after="60" w:before="60"/>
      </w:pPr>
      <w:r>
        <w:rPr>
          <w:rFonts w:ascii="Arial" w:cs="Arial" w:eastAsia="Arial" w:hAnsi="Arial"/>
          <w:b/>
          <w:bCs/>
          <w:sz w:val="22"/>
          <w:szCs w:val="22"/>
        </w:rPr>
        <w:t xml:space="preserve">Review Process:  </w:t>
      </w:r>
      <w:r>
        <w:rPr>
          <w:rFonts w:ascii="Arial" w:cs="Arial" w:eastAsia="Arial" w:hAnsi="Arial"/>
          <w:sz w:val="22"/>
          <w:szCs w:val="22"/>
        </w:rPr>
        <w:t xml:space="preserve">The CRO will review qualifying deals within 30 days of booking. The CRO may, in their sole discretion, apply an adjusted commission rate to the windfall portion of the booking. The standard deceleration schedule still applies to all other bookings in the plan year.</w:t>
      </w:r>
    </w:p>
    <w:p>
      <w:pPr>
        <w:spacing w:after="40" w:before="0"/>
      </w:pPr>
      <w:r>
        <w:t xml:space="preserve"/>
      </w:r>
    </w:p>
    <w:p>
      <w:pPr>
        <w:spacing w:after="60" w:before="60"/>
      </w:pPr>
      <w:r>
        <w:rPr>
          <w:rFonts w:ascii="Arial" w:cs="Arial" w:eastAsia="Arial" w:hAnsi="Arial"/>
          <w:b/>
          <w:bCs/>
          <w:sz w:val="22"/>
          <w:szCs w:val="22"/>
        </w:rPr>
        <w:t xml:space="preserve">Representative Notice:  </w:t>
      </w:r>
      <w:r>
        <w:rPr>
          <w:rFonts w:ascii="Arial" w:cs="Arial" w:eastAsia="Arial" w:hAnsi="Arial"/>
          <w:sz w:val="22"/>
          <w:szCs w:val="22"/>
        </w:rPr>
        <w:t xml:space="preserve">If an adjustment is made under this policy, the representative will receive written notice stating the basis for the adjustment and the revised commission amount.</w:t>
      </w:r>
    </w:p>
    <w:p>
      <w:pPr>
        <w:spacing w:after="40" w:before="0"/>
      </w:pPr>
      <w:r>
        <w:t xml:space="preserve"/>
      </w:r>
    </w:p>
    <w:p>
      <w:pPr>
        <w:spacing w:after="60" w:before="60"/>
      </w:pPr>
      <w:r>
        <w:rPr>
          <w:rFonts w:ascii="Arial" w:cs="Arial" w:eastAsia="Arial" w:hAnsi="Arial"/>
          <w:b/>
          <w:bCs/>
          <w:sz w:val="22"/>
          <w:szCs w:val="22"/>
        </w:rPr>
        <w:t xml:space="preserve">Good Faith Deals:  </w:t>
      </w:r>
      <w:r>
        <w:rPr>
          <w:rFonts w:ascii="Arial" w:cs="Arial" w:eastAsia="Arial" w:hAnsi="Arial"/>
          <w:sz w:val="22"/>
          <w:szCs w:val="22"/>
        </w:rPr>
        <w:t xml:space="preserve">This policy does not apply to deals actively sourced, pursued, and closed through the representative's own efforts, regardless of deal size.</w:t>
      </w:r>
    </w:p>
    <w:p>
      <w:pPr>
        <w:spacing w:after="80" w:before="0"/>
      </w:pPr>
      <w:r>
        <w:t xml:space="preserve"/>
      </w:r>
    </w:p>
    <w:p>
      <w:pPr>
        <w:pBdr>
          <w:bottom w:val="single" w:color="D4A017" w:sz="6" w:space="4"/>
        </w:pBdr>
        <w:spacing w:after="100" w:before="280"/>
      </w:pPr>
      <w:r>
        <w:rPr>
          <w:rFonts w:ascii="Arial" w:cs="Arial" w:eastAsia="Arial" w:hAnsi="Arial"/>
          <w:b/>
          <w:bCs/>
          <w:color w:val="1A3A5C"/>
          <w:sz w:val="28"/>
          <w:szCs w:val="28"/>
        </w:rPr>
        <w:t xml:space="preserve">Pricing Authority &amp; Discount Policy</w:t>
      </w:r>
    </w:p>
    <w:p>
      <w:pPr>
        <w:spacing w:after="60" w:before="60"/>
      </w:pPr>
      <w:r>
        <w:rPr>
          <w:rFonts w:ascii="Arial" w:cs="Arial" w:eastAsia="Arial" w:hAnsi="Arial"/>
          <w:sz w:val="22"/>
          <w:szCs w:val="22"/>
        </w:rPr>
        <w:t xml:space="preserve">Representatives are expected to price deals consistent with CRO-approved pricing guidance. The following policy applies when a deal requires a discount beyond what the CRO has approved in writing:</w:t>
      </w:r>
    </w:p>
    <w:p>
      <w:pPr>
        <w:spacing w:after="40" w:before="0"/>
      </w:pPr>
      <w:r>
        <w:t xml:space="preserve"/>
      </w:r>
    </w:p>
    <w:p>
      <w:pPr>
        <w:spacing w:after="60" w:before="60"/>
      </w:pPr>
      <w:r>
        <w:rPr>
          <w:rFonts w:ascii="Arial" w:cs="Arial" w:eastAsia="Arial" w:hAnsi="Arial"/>
          <w:b/>
          <w:bCs/>
          <w:sz w:val="22"/>
          <w:szCs w:val="22"/>
        </w:rPr>
        <w:t xml:space="preserve">Pre-Approval Required:  </w:t>
      </w:r>
      <w:r>
        <w:rPr>
          <w:rFonts w:ascii="Arial" w:cs="Arial" w:eastAsia="Arial" w:hAnsi="Arial"/>
          <w:sz w:val="22"/>
          <w:szCs w:val="22"/>
        </w:rPr>
        <w:t xml:space="preserve">Deals requiring discounts beyond levels approved in writing by the CRO require CRO approval before contract execution. If approval is not obtained prior to execution, the Company reserves the right to not accept the deal as a qualifying booking, or to adjust the commission on that deal accordingly.</w:t>
      </w:r>
    </w:p>
    <w:p>
      <w:pPr>
        <w:spacing w:after="40" w:before="0"/>
      </w:pPr>
      <w:r>
        <w:t xml:space="preserve"/>
      </w:r>
    </w:p>
    <w:p>
      <w:pPr>
        <w:spacing w:after="60" w:before="60"/>
      </w:pPr>
      <w:r>
        <w:rPr>
          <w:rFonts w:ascii="Arial" w:cs="Arial" w:eastAsia="Arial" w:hAnsi="Arial"/>
          <w:b/>
          <w:bCs/>
          <w:sz w:val="22"/>
          <w:szCs w:val="22"/>
        </w:rPr>
        <w:t xml:space="preserve">Post-Execution Review:  </w:t>
      </w:r>
      <w:r>
        <w:rPr>
          <w:rFonts w:ascii="Arial" w:cs="Arial" w:eastAsia="Arial" w:hAnsi="Arial"/>
          <w:sz w:val="22"/>
          <w:szCs w:val="22"/>
        </w:rPr>
        <w:t xml:space="preserve">If it is determined after commission payment that a deal was executed at an unauthorized discount level without prior CRO approval, the excess commission may be subject to recovery against future commission payments.</w:t>
      </w:r>
    </w:p>
    <w:p>
      <w:pPr>
        <w:spacing w:after="40" w:before="0"/>
      </w:pPr>
      <w:r>
        <w:t xml:space="preserve"/>
      </w:r>
    </w:p>
    <w:p>
      <w:pPr>
        <w:spacing w:after="60" w:before="60"/>
      </w:pPr>
      <w:r>
        <w:rPr>
          <w:rFonts w:ascii="Arial" w:cs="Arial" w:eastAsia="Arial" w:hAnsi="Arial"/>
          <w:i/>
          <w:iCs/>
          <w:color w:val="555555"/>
          <w:sz w:val="22"/>
          <w:szCs w:val="22"/>
        </w:rPr>
        <w:t xml:space="preserve">This policy does not apply to discounts that were approved by the CRO in writing prior to execution.</w:t>
      </w:r>
    </w:p>
    <w:p>
      <w:pPr>
        <w:spacing w:after="80" w:before="0"/>
      </w:pPr>
      <w:r>
        <w:t xml:space="preserve"/>
      </w:r>
    </w:p>
    <w:p>
      <w:pPr>
        <w:pBdr>
          <w:bottom w:val="single" w:color="D4A017" w:sz="6" w:space="4"/>
        </w:pBdr>
        <w:spacing w:after="100" w:before="280"/>
      </w:pPr>
      <w:r>
        <w:rPr>
          <w:rFonts w:ascii="Arial" w:cs="Arial" w:eastAsia="Arial" w:hAnsi="Arial"/>
          <w:b/>
          <w:bCs/>
          <w:color w:val="1A3A5C"/>
          <w:sz w:val="28"/>
          <w:szCs w:val="28"/>
        </w:rPr>
        <w:t xml:space="preserve">Termination &amp; Final Commission Payment</w:t>
      </w:r>
    </w:p>
    <w:p>
      <w:pPr>
        <w:spacing w:after="60" w:before="60"/>
      </w:pPr>
      <w:r>
        <w:rPr>
          <w:rFonts w:ascii="Arial" w:cs="Arial" w:eastAsia="Arial" w:hAnsi="Arial"/>
          <w:sz w:val="22"/>
          <w:szCs w:val="22"/>
        </w:rPr>
        <w:t xml:space="preserve">Upon termination of employment for any reason, earned and calculable commissions will be handled as follows:</w:t>
      </w:r>
    </w:p>
    <w:p>
      <w:pPr>
        <w:spacing w:after="40" w:before="0"/>
      </w:pPr>
      <w:r>
        <w:t xml:space="preserve"/>
      </w:r>
    </w:p>
    <w:p>
      <w:pPr>
        <w:spacing w:after="60" w:before="60"/>
      </w:pPr>
      <w:r>
        <w:rPr>
          <w:rFonts w:ascii="Arial" w:cs="Arial" w:eastAsia="Arial" w:hAnsi="Arial"/>
          <w:b/>
          <w:bCs/>
          <w:sz w:val="22"/>
          <w:szCs w:val="22"/>
        </w:rPr>
        <w:t xml:space="preserve">Voluntary Resignation:  </w:t>
      </w:r>
      <w:r>
        <w:rPr>
          <w:rFonts w:ascii="Arial" w:cs="Arial" w:eastAsia="Arial" w:hAnsi="Arial"/>
          <w:sz w:val="22"/>
          <w:szCs w:val="22"/>
        </w:rPr>
        <w:t xml:space="preserve">Commission is earned through the last date of active employment only. Pipeline opportunities not yet converted to fully executed contracts as of the termination date are not eligible for commission.</w:t>
      </w:r>
    </w:p>
    <w:p>
      <w:pPr>
        <w:spacing w:after="40" w:before="0"/>
      </w:pPr>
      <w:r>
        <w:t xml:space="preserve"/>
      </w:r>
    </w:p>
    <w:p>
      <w:pPr>
        <w:spacing w:after="60" w:before="60"/>
      </w:pPr>
      <w:r>
        <w:rPr>
          <w:rFonts w:ascii="Arial" w:cs="Arial" w:eastAsia="Arial" w:hAnsi="Arial"/>
          <w:b/>
          <w:bCs/>
          <w:sz w:val="22"/>
          <w:szCs w:val="22"/>
        </w:rPr>
        <w:t xml:space="preserve">Involuntary Termination Without Cause / RIF:  </w:t>
      </w:r>
      <w:r>
        <w:rPr>
          <w:rFonts w:ascii="Arial" w:cs="Arial" w:eastAsia="Arial" w:hAnsi="Arial"/>
          <w:sz w:val="22"/>
          <w:szCs w:val="22"/>
        </w:rPr>
        <w:t xml:space="preserve">Commissions earned and calculable through the termination date will be paid on the next regular monthly commission payment date. At the Company's sole discretion, commission eligibility may be extended up to 30 days post-termination for deals where a fully executed Order Form was in legal review as of the termination date.</w:t>
      </w:r>
    </w:p>
    <w:p>
      <w:pPr>
        <w:spacing w:after="40" w:before="0"/>
      </w:pPr>
      <w:r>
        <w:t xml:space="preserve"/>
      </w:r>
    </w:p>
    <w:p>
      <w:pPr>
        <w:spacing w:after="60" w:before="60"/>
      </w:pPr>
      <w:r>
        <w:rPr>
          <w:rFonts w:ascii="Arial" w:cs="Arial" w:eastAsia="Arial" w:hAnsi="Arial"/>
          <w:b/>
          <w:bCs/>
          <w:sz w:val="22"/>
          <w:szCs w:val="22"/>
        </w:rPr>
        <w:t xml:space="preserve">Termination for Cause:  </w:t>
      </w:r>
      <w:r>
        <w:rPr>
          <w:rFonts w:ascii="Arial" w:cs="Arial" w:eastAsia="Arial" w:hAnsi="Arial"/>
          <w:sz w:val="22"/>
          <w:szCs w:val="22"/>
        </w:rPr>
        <w:t xml:space="preserve">Commissions earned and calculable through the termination date will be paid in accordance with applicable law.</w:t>
      </w:r>
    </w:p>
    <w:p>
      <w:pPr>
        <w:spacing w:after="40" w:before="0"/>
      </w:pPr>
      <w:r>
        <w:t xml:space="preserve"/>
      </w:r>
    </w:p>
    <w:p>
      <w:pPr>
        <w:spacing w:after="60" w:before="60"/>
      </w:pPr>
      <w:r>
        <w:rPr>
          <w:rFonts w:ascii="Arial" w:cs="Arial" w:eastAsia="Arial" w:hAnsi="Arial"/>
          <w:b/>
          <w:bCs/>
          <w:sz w:val="22"/>
          <w:szCs w:val="22"/>
        </w:rPr>
        <w:t xml:space="preserve">Recoverable Draw at Termination:  </w:t>
      </w:r>
      <w:r>
        <w:rPr>
          <w:rFonts w:ascii="Arial" w:cs="Arial" w:eastAsia="Arial" w:hAnsi="Arial"/>
          <w:sz w:val="22"/>
          <w:szCs w:val="22"/>
        </w:rPr>
        <w:t xml:space="preserve">At the Company's option, any outstanding recoverable draw balance at the time of termination may be recovered, including by offset against final wages or future amounts owed, to the extent permitted by applicable law. The Company reserves the right to offset any outstanding recoverable draw balance from final wages to the extent permitted by applicable law.</w:t>
      </w:r>
    </w:p>
    <w:p>
      <w:pPr>
        <w:spacing w:after="40" w:before="0"/>
      </w:pPr>
      <w:r>
        <w:t xml:space="preserve"/>
      </w:r>
    </w:p>
    <w:p>
      <w:pPr>
        <w:spacing w:after="60" w:before="60"/>
      </w:pPr>
      <w:r>
        <w:rPr>
          <w:rFonts w:ascii="Arial" w:cs="Arial" w:eastAsia="Arial" w:hAnsi="Arial"/>
          <w:i/>
          <w:iCs/>
          <w:color w:val="555555"/>
          <w:sz w:val="22"/>
          <w:szCs w:val="22"/>
        </w:rPr>
        <w:t xml:space="preserve">For the avoidance of doubt, no commissions accrue on deals closed after the representative's termination date, regardless of the representative's prior involvement in those deals.</w:t>
      </w:r>
    </w:p>
    <w:p>
      <w:pPr>
        <w:spacing w:after="80" w:before="0"/>
      </w:pPr>
      <w:r>
        <w:t xml:space="preserve"/>
      </w:r>
    </w:p>
    <w:p>
      <w:pPr>
        <w:pBdr>
          <w:bottom w:val="single" w:color="D4A017" w:sz="6" w:space="4"/>
        </w:pBdr>
        <w:spacing w:after="100" w:before="280"/>
      </w:pPr>
      <w:r>
        <w:rPr>
          <w:rFonts w:ascii="Arial" w:cs="Arial" w:eastAsia="Arial" w:hAnsi="Arial"/>
          <w:b/>
          <w:bCs/>
          <w:color w:val="1A3A5C"/>
          <w:sz w:val="28"/>
          <w:szCs w:val="28"/>
        </w:rPr>
        <w:t xml:space="preserve">Equity Compensation (Reference)</w:t>
      </w:r>
    </w:p>
    <w:p>
      <w:pPr>
        <w:spacing w:after="60" w:before="60"/>
      </w:pPr>
      <w:r>
        <w:rPr>
          <w:rFonts w:ascii="Arial" w:cs="Arial" w:eastAsia="Arial" w:hAnsi="Arial"/>
          <w:sz w:val="22"/>
          <w:szCs w:val="22"/>
        </w:rPr>
        <w:t xml:space="preserve">Per offer letter: 120,000 Incentive Shares (ISO Stock Options or RSUs, at employee election), subject to Board approval. Vesting: 25% cliff on July 1, 2027; remaining 75% in equal monthly installments over the following 36 months.</w:t>
      </w:r>
    </w:p>
    <w:p>
      <w:pPr>
        <w:spacing w:after="80" w:before="0"/>
      </w:pPr>
      <w:r>
        <w:t xml:space="preserve"/>
      </w:r>
    </w:p>
    <w:p>
      <w:pPr>
        <w:pBdr>
          <w:bottom w:val="single" w:color="D4A017" w:sz="6" w:space="4"/>
        </w:pBdr>
        <w:spacing w:after="100" w:before="280"/>
      </w:pPr>
      <w:r>
        <w:rPr>
          <w:rFonts w:ascii="Arial" w:cs="Arial" w:eastAsia="Arial" w:hAnsi="Arial"/>
          <w:b/>
          <w:bCs/>
          <w:color w:val="1A3A5C"/>
          <w:sz w:val="28"/>
          <w:szCs w:val="28"/>
        </w:rPr>
        <w:t xml:space="preserve">Plan Terms &amp; Legal Provisions</w:t>
      </w:r>
    </w:p>
    <w:p>
      <w:pPr>
        <w:spacing w:after="80" w:before="200"/>
      </w:pPr>
      <w:r>
        <w:rPr>
          <w:rFonts w:ascii="Arial" w:cs="Arial" w:eastAsia="Arial" w:hAnsi="Arial"/>
          <w:b/>
          <w:bCs/>
          <w:color w:val="1A3A5C"/>
          <w:sz w:val="24"/>
          <w:szCs w:val="24"/>
        </w:rPr>
        <w:t xml:space="preserve">Plan Administration &amp; Modification</w:t>
      </w:r>
    </w:p>
    <w:p>
      <w:pPr>
        <w:spacing w:after="60" w:before="60"/>
      </w:pPr>
      <w:r>
        <w:rPr>
          <w:rFonts w:ascii="Arial" w:cs="Arial" w:eastAsia="Arial" w:hAnsi="Arial"/>
          <w:sz w:val="22"/>
          <w:szCs w:val="22"/>
        </w:rPr>
        <w:t xml:space="preserve">The Company reserves the right to modify, amend, or terminate this plan at any time in its sole discretion, with written notice to the representative. Plan changes shall not apply retroactively to commissions already earned and calculable as of the date of written notice. 'Earned and calculable' means the underlying booking is fully executed, logged in the Company CRM, and the commission amount is determinable under this plan.</w:t>
      </w:r>
    </w:p>
    <w:p>
      <w:pPr>
        <w:spacing w:after="40" w:before="0"/>
      </w:pPr>
      <w:r>
        <w:t xml:space="preserve"/>
      </w:r>
    </w:p>
    <w:p>
      <w:pPr>
        <w:spacing w:after="80" w:before="200"/>
      </w:pPr>
      <w:r>
        <w:rPr>
          <w:rFonts w:ascii="Arial" w:cs="Arial" w:eastAsia="Arial" w:hAnsi="Arial"/>
          <w:b/>
          <w:bCs/>
          <w:color w:val="1A3A5C"/>
          <w:sz w:val="24"/>
          <w:szCs w:val="24"/>
        </w:rPr>
        <w:t xml:space="preserve">Plan Is Not a Contract of Employment</w:t>
      </w:r>
    </w:p>
    <w:p>
      <w:pPr>
        <w:spacing w:after="60" w:before="60"/>
      </w:pPr>
      <w:r>
        <w:rPr>
          <w:rFonts w:ascii="Arial" w:cs="Arial" w:eastAsia="Arial" w:hAnsi="Arial"/>
          <w:sz w:val="22"/>
          <w:szCs w:val="22"/>
        </w:rPr>
        <w:t xml:space="preserve">This plan does not constitute a contract of employment. Nothing in this plan alters the nature of the employment relationship or the Company's right to terminate the employment relationship at any time, with or without cause, consistent with applicable law. Participation in this plan does not guarantee continued employment or continued eligibility to receive incentive compensation.</w:t>
      </w:r>
    </w:p>
    <w:p>
      <w:pPr>
        <w:spacing w:after="40" w:before="0"/>
      </w:pPr>
      <w:r>
        <w:t xml:space="preserve"/>
      </w:r>
    </w:p>
    <w:p>
      <w:pPr>
        <w:spacing w:after="80" w:before="200"/>
      </w:pPr>
      <w:r>
        <w:rPr>
          <w:rFonts w:ascii="Arial" w:cs="Arial" w:eastAsia="Arial" w:hAnsi="Arial"/>
          <w:b/>
          <w:bCs/>
          <w:color w:val="1A3A5C"/>
          <w:sz w:val="24"/>
          <w:szCs w:val="24"/>
        </w:rPr>
        <w:t xml:space="preserve">Dispute Resolution</w:t>
      </w:r>
    </w:p>
    <w:p>
      <w:pPr>
        <w:spacing w:after="60" w:before="60"/>
      </w:pPr>
      <w:r>
        <w:rPr>
          <w:rFonts w:ascii="Arial" w:cs="Arial" w:eastAsia="Arial" w:hAnsi="Arial"/>
          <w:sz w:val="22"/>
          <w:szCs w:val="22"/>
        </w:rPr>
        <w:t xml:space="preserve">All disputes regarding commission calculations, quota credit, booking eligibility, or plan interpretation will be resolved by the CRO in their sole and absolute discretion. Decisions are final and binding. All disputes or adjustment requests must be submitted in writing within 60 days of the date of written commission notice for the relevant payment period. Requests submitted after 60 days will not be considered.</w:t>
      </w:r>
    </w:p>
    <w:p>
      <w:pPr>
        <w:spacing w:after="40" w:before="0"/>
      </w:pPr>
      <w:r>
        <w:t xml:space="preserve"/>
      </w:r>
    </w:p>
    <w:p>
      <w:pPr>
        <w:spacing w:after="80" w:before="200"/>
      </w:pPr>
      <w:r>
        <w:rPr>
          <w:rFonts w:ascii="Arial" w:cs="Arial" w:eastAsia="Arial" w:hAnsi="Arial"/>
          <w:b/>
          <w:bCs/>
          <w:color w:val="1A3A5C"/>
          <w:sz w:val="24"/>
          <w:szCs w:val="24"/>
        </w:rPr>
        <w:t xml:space="preserve">Misrepresentation &amp; Fraud Clawback</w:t>
      </w:r>
    </w:p>
    <w:p>
      <w:pPr>
        <w:spacing w:after="60" w:before="60"/>
      </w:pPr>
      <w:r>
        <w:rPr>
          <w:rFonts w:ascii="Arial" w:cs="Arial" w:eastAsia="Arial" w:hAnsi="Arial"/>
          <w:sz w:val="22"/>
          <w:szCs w:val="22"/>
        </w:rPr>
        <w:t xml:space="preserve">Commissions earned on bookings obtained through misrepresentation, fraud, violation of Company policy, or any conduct inconsistent with the Company's Code of Business Conduct are subject to full recovery by the Company, without limitation as to the time the commission was paid. Recovery of commissions under this provision does not preclude the Company from pursuing any other available legal or equitable remedies.</w:t>
      </w:r>
    </w:p>
    <w:p>
      <w:pPr>
        <w:spacing w:after="40" w:before="0"/>
      </w:pPr>
      <w:r>
        <w:t xml:space="preserve"/>
      </w:r>
    </w:p>
    <w:p>
      <w:pPr>
        <w:spacing w:after="80" w:before="200"/>
      </w:pPr>
      <w:r>
        <w:rPr>
          <w:rFonts w:ascii="Arial" w:cs="Arial" w:eastAsia="Arial" w:hAnsi="Arial"/>
          <w:b/>
          <w:bCs/>
          <w:color w:val="1A3A5C"/>
          <w:sz w:val="24"/>
          <w:szCs w:val="24"/>
        </w:rPr>
        <w:t xml:space="preserve">Eligibility</w:t>
      </w:r>
    </w:p>
    <w:p>
      <w:pPr>
        <w:spacing w:after="60" w:before="60"/>
      </w:pPr>
      <w:r>
        <w:rPr>
          <w:rFonts w:ascii="Arial" w:cs="Arial" w:eastAsia="Arial" w:hAnsi="Arial"/>
          <w:sz w:val="22"/>
          <w:szCs w:val="22"/>
        </w:rPr>
        <w:t xml:space="preserve">The representative must be actively employed and in good standing on the date commission payments are processed.</w:t>
      </w:r>
    </w:p>
    <w:p>
      <w:pPr>
        <w:spacing w:after="40" w:before="0"/>
      </w:pPr>
      <w:r>
        <w:t xml:space="preserve"/>
      </w:r>
    </w:p>
    <w:p>
      <w:pPr>
        <w:spacing w:after="80" w:before="200"/>
      </w:pPr>
      <w:r>
        <w:rPr>
          <w:rFonts w:ascii="Arial" w:cs="Arial" w:eastAsia="Arial" w:hAnsi="Arial"/>
          <w:b/>
          <w:bCs/>
          <w:color w:val="1A3A5C"/>
          <w:sz w:val="24"/>
          <w:szCs w:val="24"/>
        </w:rPr>
        <w:t xml:space="preserve">Governing Law</w:t>
      </w:r>
    </w:p>
    <w:p>
      <w:pPr>
        <w:spacing w:after="60" w:before="60"/>
      </w:pPr>
      <w:r>
        <w:rPr>
          <w:rFonts w:ascii="Arial" w:cs="Arial" w:eastAsia="Arial" w:hAnsi="Arial"/>
          <w:sz w:val="22"/>
          <w:szCs w:val="22"/>
        </w:rPr>
        <w:t xml:space="preserve">This plan is governed by the laws of the Commonwealth of Massachusetts. Any legal action arising out of or related to this plan shall be brought exclusively in the courts of competent jurisdiction in that state.</w:t>
      </w:r>
    </w:p>
    <w:p>
      <w:pPr>
        <w:spacing w:after="40" w:before="0"/>
      </w:pPr>
      <w:r>
        <w:t xml:space="preserve"/>
      </w:r>
    </w:p>
    <w:p>
      <w:pPr>
        <w:spacing w:after="80" w:before="200"/>
      </w:pPr>
      <w:r>
        <w:rPr>
          <w:rFonts w:ascii="Arial" w:cs="Arial" w:eastAsia="Arial" w:hAnsi="Arial"/>
          <w:b/>
          <w:bCs/>
          <w:color w:val="1A3A5C"/>
          <w:sz w:val="24"/>
          <w:szCs w:val="24"/>
        </w:rPr>
        <w:t xml:space="preserve">Entire Agreement</w:t>
      </w:r>
    </w:p>
    <w:p>
      <w:pPr>
        <w:spacing w:after="60" w:before="60"/>
      </w:pPr>
      <w:r>
        <w:rPr>
          <w:rFonts w:ascii="Arial" w:cs="Arial" w:eastAsia="Arial" w:hAnsi="Arial"/>
          <w:sz w:val="22"/>
          <w:szCs w:val="22"/>
        </w:rPr>
        <w:t xml:space="preserve">This plan constitutes the entire agreement between the parties with respect to sales incentive compensation for the plan period stated herein, and supersedes all prior oral or written representations, understandings, negotiations, or agreements on the subject. No modification to this plan is valid unless made in writing and signed by both parties.</w:t>
      </w:r>
    </w:p>
    <w:p>
      <w:pPr>
        <w:spacing w:after="40" w:before="0"/>
      </w:pPr>
      <w:r>
        <w:t xml:space="preserve"/>
      </w:r>
    </w:p>
    <w:p>
      <w:pPr>
        <w:spacing w:after="80" w:before="200"/>
      </w:pPr>
      <w:r>
        <w:rPr>
          <w:rFonts w:ascii="Arial" w:cs="Arial" w:eastAsia="Arial" w:hAnsi="Arial"/>
          <w:b/>
          <w:bCs/>
          <w:color w:val="1A3A5C"/>
          <w:sz w:val="24"/>
          <w:szCs w:val="24"/>
        </w:rPr>
        <w:t xml:space="preserve">Confidentiality of Plan Terms</w:t>
      </w:r>
    </w:p>
    <w:p>
      <w:pPr>
        <w:spacing w:after="60" w:before="60"/>
      </w:pPr>
      <w:r>
        <w:rPr>
          <w:rFonts w:ascii="Arial" w:cs="Arial" w:eastAsia="Arial" w:hAnsi="Arial"/>
          <w:sz w:val="22"/>
          <w:szCs w:val="22"/>
        </w:rPr>
        <w:t xml:space="preserve">The terms of this plan, including commission rates, quota amounts, payment mechanics, and any related CRO decisions, are confidential. The representative agrees not to disclose plan details to any third party, including other employees, without prior written authorization from the CRO. Violation of this provision may result in disciplinary action.</w:t>
      </w:r>
    </w:p>
    <w:p>
      <w:pPr>
        <w:spacing w:after="80" w:before="0"/>
      </w:pPr>
      <w:r>
        <w:t xml:space="preserve"/>
      </w:r>
    </w:p>
    <w:p>
      <w:pPr>
        <w:pBdr>
          <w:bottom w:val="single" w:color="D4A017" w:sz="6" w:space="4"/>
        </w:pBdr>
        <w:spacing w:after="100" w:before="280"/>
      </w:pPr>
      <w:r>
        <w:rPr>
          <w:rFonts w:ascii="Arial" w:cs="Arial" w:eastAsia="Arial" w:hAnsi="Arial"/>
          <w:b/>
          <w:bCs/>
          <w:color w:val="1A3A5C"/>
          <w:sz w:val="28"/>
          <w:szCs w:val="28"/>
        </w:rPr>
        <w:t xml:space="preserve">Acknowledgment &amp; Signature</w:t>
      </w:r>
    </w:p>
    <w:p>
      <w:pPr>
        <w:spacing w:after="60" w:before="60"/>
      </w:pPr>
      <w:r>
        <w:rPr>
          <w:rFonts w:ascii="Arial" w:cs="Arial" w:eastAsia="Arial" w:hAnsi="Arial"/>
          <w:sz w:val="22"/>
          <w:szCs w:val="22"/>
        </w:rPr>
        <w:t xml:space="preserve">By signing below, both parties agree to the terms of this Sales Compensation Plan for Fiscal Year 2026.</w:t>
      </w:r>
    </w:p>
    <w:p>
      <w:pPr>
        <w:spacing w:after="120" w:before="0"/>
      </w:pPr>
      <w:r>
        <w:t xml:space="preserve"/>
      </w:r>
    </w:p>
    <w:tbl>
      <w:tblPr>
        <w:tblW w:type="dxa" w:w="9720"/>
        <w:tblBorders>
          <w:top w:val="none" w:color="FFFFFF" w:sz="0"/>
          <w:left w:val="none" w:color="FFFFFF" w:sz="0"/>
          <w:bottom w:val="none" w:color="FFFFFF" w:sz="0"/>
          <w:right w:val="none" w:color="FFFFFF" w:sz="0"/>
          <w:insideH w:val="single" w:color="auto" w:sz="4"/>
          <w:insideV w:val="single" w:color="auto" w:sz="4"/>
        </w:tblBorders>
      </w:tblPr>
      <w:tblGrid>
        <w:gridCol w:w="6800"/>
        <w:gridCol w:w="2920"/>
      </w:tblGrid>
      <w:tr>
        <w:tc>
          <w:tcPr>
            <w:tcW w:type="dxa" w:w="6800"/>
            <w:tcBorders>
              <w:top w:val="none" w:color="FFFFFF" w:sz="0"/>
              <w:left w:val="none" w:color="FFFFFF" w:sz="0"/>
              <w:bottom w:val="none" w:color="FFFFFF" w:sz="0"/>
              <w:right w:val="none" w:color="FFFFFF" w:sz="0"/>
            </w:tcBorders>
            <w:tcMar>
              <w:top w:type="dxa" w:w="0"/>
              <w:left w:type="dxa" w:w="0"/>
              <w:bottom w:type="dxa" w:w="0"/>
              <w:right w:type="dxa" w:w="0"/>
            </w:tcMar>
          </w:tcPr>
          <w:p>
            <w:pPr>
              <w:spacing w:after="80" w:before="200"/>
            </w:pPr>
            <w:r>
              <w:rPr>
                <w:rFonts w:ascii="Arial" w:cs="Arial" w:eastAsia="Arial" w:hAnsi="Arial"/>
                <w:sz w:val="22"/>
                <w:szCs w:val="22"/>
              </w:rPr>
              <w:t xml:space="preserve">Employee Signature:  </w:t>
            </w:r>
            <w:r>
              <w:rPr>
                <w:rFonts w:ascii="Arial" w:cs="Arial" w:eastAsia="Arial" w:hAnsi="Arial"/>
                <w:sz w:val="22"/>
                <w:szCs w:val="22"/>
              </w:rPr>
              <w:t xml:space="preserve">________________________________________</w:t>
            </w:r>
          </w:p>
        </w:tc>
        <w:tc>
          <w:tcPr>
            <w:tcW w:type="dxa" w:w="2920"/>
            <w:tcBorders>
              <w:top w:val="none" w:color="FFFFFF" w:sz="0"/>
              <w:left w:val="none" w:color="FFFFFF" w:sz="0"/>
              <w:bottom w:val="none" w:color="FFFFFF" w:sz="0"/>
              <w:right w:val="none" w:color="FFFFFF" w:sz="0"/>
            </w:tcBorders>
            <w:tcMar>
              <w:top w:type="dxa" w:w="0"/>
              <w:left w:type="dxa" w:w="320"/>
              <w:bottom w:type="dxa" w:w="0"/>
              <w:right w:type="dxa" w:w="0"/>
            </w:tcMar>
          </w:tcPr>
          <w:p>
            <w:pPr>
              <w:spacing w:after="80" w:before="200"/>
            </w:pPr>
            <w:r>
              <w:rPr>
                <w:rFonts w:ascii="Arial" w:cs="Arial" w:eastAsia="Arial" w:hAnsi="Arial"/>
                <w:sz w:val="22"/>
                <w:szCs w:val="22"/>
              </w:rPr>
              <w:t xml:space="preserve">Date:  ________________</w:t>
            </w:r>
          </w:p>
        </w:tc>
      </w:tr>
      <w:tr>
        <w:tc>
          <w:tcPr>
            <w:tcW w:type="dxa" w:w="6800"/>
            <w:tcBorders>
              <w:top w:val="none" w:color="FFFFFF" w:sz="0"/>
              <w:left w:val="none" w:color="FFFFFF" w:sz="0"/>
              <w:bottom w:val="none" w:color="FFFFFF" w:sz="0"/>
              <w:right w:val="none" w:color="FFFFFF" w:sz="0"/>
            </w:tcBorders>
            <w:tcMar>
              <w:top w:type="dxa" w:w="0"/>
              <w:left w:type="dxa" w:w="0"/>
              <w:bottom w:type="dxa" w:w="0"/>
              <w:right w:type="dxa" w:w="0"/>
            </w:tcMar>
          </w:tcPr>
          <w:p>
            <w:pPr>
              <w:spacing w:after="80" w:before="200"/>
            </w:pPr>
            <w:r>
              <w:rPr>
                <w:rFonts w:ascii="Arial" w:cs="Arial" w:eastAsia="Arial" w:hAnsi="Arial"/>
                <w:sz w:val="22"/>
                <w:szCs w:val="22"/>
              </w:rPr>
              <w:t xml:space="preserve">Employee Name (Print):  </w:t>
            </w:r>
            <w:r>
              <w:rPr>
                <w:rFonts w:ascii="Arial" w:cs="Arial" w:eastAsia="Arial" w:hAnsi="Arial"/>
                <w:sz w:val="22"/>
                <w:szCs w:val="22"/>
              </w:rPr>
              <w:t xml:space="preserve">________________________________________</w:t>
            </w:r>
          </w:p>
        </w:tc>
        <w:tc>
          <w:tcPr>
            <w:tcW w:type="dxa" w:w="2920"/>
            <w:tcBorders>
              <w:top w:val="none" w:color="FFFFFF" w:sz="0"/>
              <w:left w:val="none" w:color="FFFFFF" w:sz="0"/>
              <w:bottom w:val="none" w:color="FFFFFF" w:sz="0"/>
              <w:right w:val="none" w:color="FFFFFF" w:sz="0"/>
            </w:tcBorders>
            <w:tcMar>
              <w:top w:type="dxa" w:w="0"/>
              <w:left w:type="dxa" w:w="320"/>
              <w:bottom w:type="dxa" w:w="0"/>
              <w:right w:type="dxa" w:w="0"/>
            </w:tcMar>
          </w:tcPr>
          <w:p>
            <w:pPr>
              <w:spacing w:after="80" w:before="200"/>
            </w:pPr>
            <w:r>
              <w:rPr>
                <w:rFonts w:ascii="Arial" w:cs="Arial" w:eastAsia="Arial" w:hAnsi="Arial"/>
                <w:sz w:val="22"/>
                <w:szCs w:val="22"/>
              </w:rPr>
              <w:t xml:space="preserve">Date:  ________________</w:t>
            </w:r>
          </w:p>
        </w:tc>
      </w:tr>
    </w:tbl>
    <w:p>
      <w:pPr>
        <w:spacing w:after="160" w:before="0"/>
      </w:pPr>
      <w:r>
        <w:t xml:space="preserve"/>
      </w:r>
    </w:p>
    <w:p>
      <w:pPr>
        <w:spacing w:after="60" w:before="60"/>
      </w:pPr>
      <w:r>
        <w:rPr>
          <w:rFonts w:ascii="Arial" w:cs="Arial" w:eastAsia="Arial" w:hAnsi="Arial"/>
          <w:b/>
          <w:bCs/>
          <w:sz w:val="22"/>
          <w:szCs w:val="22"/>
        </w:rPr>
        <w:t xml:space="preserve">Timothy Ziemer, CRO &amp; Co-Founder  —  Company Representative</w:t>
      </w:r>
    </w:p>
    <w:tbl>
      <w:tblPr>
        <w:tblW w:type="dxa" w:w="9720"/>
        <w:tblBorders>
          <w:top w:val="none" w:color="FFFFFF" w:sz="0"/>
          <w:left w:val="none" w:color="FFFFFF" w:sz="0"/>
          <w:bottom w:val="none" w:color="FFFFFF" w:sz="0"/>
          <w:right w:val="none" w:color="FFFFFF" w:sz="0"/>
          <w:insideH w:val="single" w:color="auto" w:sz="4"/>
          <w:insideV w:val="single" w:color="auto" w:sz="4"/>
        </w:tblBorders>
      </w:tblPr>
      <w:tblGrid>
        <w:gridCol w:w="6800"/>
        <w:gridCol w:w="2920"/>
      </w:tblGrid>
      <w:tr>
        <w:tc>
          <w:tcPr>
            <w:tcW w:type="dxa" w:w="6800"/>
            <w:tcBorders>
              <w:top w:val="none" w:color="FFFFFF" w:sz="0"/>
              <w:left w:val="none" w:color="FFFFFF" w:sz="0"/>
              <w:bottom w:val="none" w:color="FFFFFF" w:sz="0"/>
              <w:right w:val="none" w:color="FFFFFF" w:sz="0"/>
            </w:tcBorders>
            <w:tcMar>
              <w:top w:type="dxa" w:w="0"/>
              <w:left w:type="dxa" w:w="0"/>
              <w:bottom w:type="dxa" w:w="0"/>
              <w:right w:type="dxa" w:w="0"/>
            </w:tcMar>
          </w:tcPr>
          <w:p>
            <w:pPr>
              <w:spacing w:after="80" w:before="200"/>
            </w:pPr>
            <w:r>
              <w:rPr>
                <w:rFonts w:ascii="Arial" w:cs="Arial" w:eastAsia="Arial" w:hAnsi="Arial"/>
                <w:sz w:val="22"/>
                <w:szCs w:val="22"/>
              </w:rPr>
              <w:t xml:space="preserve">Signature:  </w:t>
            </w:r>
            <w:r>
              <w:rPr>
                <w:rFonts w:ascii="Arial" w:cs="Arial" w:eastAsia="Arial" w:hAnsi="Arial"/>
                <w:sz w:val="22"/>
                <w:szCs w:val="22"/>
              </w:rPr>
              <w:t xml:space="preserve">________________________________________</w:t>
            </w:r>
          </w:p>
        </w:tc>
        <w:tc>
          <w:tcPr>
            <w:tcW w:type="dxa" w:w="2920"/>
            <w:tcBorders>
              <w:top w:val="none" w:color="FFFFFF" w:sz="0"/>
              <w:left w:val="none" w:color="FFFFFF" w:sz="0"/>
              <w:bottom w:val="none" w:color="FFFFFF" w:sz="0"/>
              <w:right w:val="none" w:color="FFFFFF" w:sz="0"/>
            </w:tcBorders>
            <w:tcMar>
              <w:top w:type="dxa" w:w="0"/>
              <w:left w:type="dxa" w:w="320"/>
              <w:bottom w:type="dxa" w:w="0"/>
              <w:right w:type="dxa" w:w="0"/>
            </w:tcMar>
          </w:tcPr>
          <w:p>
            <w:pPr>
              <w:spacing w:after="80" w:before="200"/>
            </w:pPr>
            <w:r>
              <w:rPr>
                <w:rFonts w:ascii="Arial" w:cs="Arial" w:eastAsia="Arial" w:hAnsi="Arial"/>
                <w:sz w:val="22"/>
                <w:szCs w:val="22"/>
              </w:rPr>
              <w:t xml:space="preserve">Date:  ________________</w:t>
            </w:r>
          </w:p>
        </w:tc>
      </w:tr>
    </w:tbl>
    <w:sectPr>
      <w:headerReference w:type="default" r:id="rId7"/>
      <w:footerReference w:type="default" r:id="rId8"/>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4"/>
      </w:pBdr>
      <w:jc w:val="center"/>
    </w:pPr>
    <w:r>
      <w:rPr>
        <w:rFonts w:ascii="Arial" w:cs="Arial" w:eastAsia="Arial" w:hAnsi="Arial"/>
        <w:color w:val="AAAAAA"/>
        <w:sz w:val="16"/>
        <w:szCs w:val="16"/>
      </w:rPr>
      <w:t xml:space="preserve">Page </w:t>
    </w:r>
    <w:r>
      <w:rPr>
        <w:rFonts w:ascii="Arial" w:cs="Arial" w:eastAsia="Arial" w:hAnsi="Arial"/>
        <w:color w:val="AAAAAA"/>
        <w:sz w:val="16"/>
        <w:szCs w:val="16"/>
      </w:rPr>
      <w:fldChar w:fldCharType="begin"/>
      <w:instrText xml:space="preserve">PAGE</w:instrText>
      <w:fldChar w:fldCharType="separate"/>
      <w:fldChar w:fldCharType="end"/>
    </w:r>
    <w:r>
      <w:rPr>
        <w:rFonts w:ascii="Arial" w:cs="Arial" w:eastAsia="Arial" w:hAnsi="Arial"/>
        <w:color w:val="AAAAAA"/>
        <w:sz w:val="16"/>
        <w:szCs w:val="16"/>
      </w:rPr>
      <w:t xml:space="preserve"> of </w:t>
    </w:r>
    <w:r>
      <w:rPr>
        <w:rFonts w:ascii="Arial" w:cs="Arial" w:eastAsia="Arial" w:hAnsi="Arial"/>
        <w:color w:val="AAAAA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4"/>
      </w:pBdr>
      <w:jc w:val="right"/>
    </w:pPr>
    <w:r>
      <w:rPr>
        <w:rFonts w:ascii="Arial" w:cs="Arial" w:eastAsia="Arial" w:hAnsi="Arial"/>
        <w:color w:val="AAAAAA"/>
        <w:sz w:val="16"/>
        <w:szCs w:val="16"/>
      </w:rPr>
      <w:t xml:space="preserve">MaiaEdge, Inc.  |  Sales Compensation Plan FY2026  |  </w:t>
    </w:r>
    <w:r>
      <w:rPr>
        <w:rFonts w:ascii="Arial" w:cs="Arial" w:eastAsia="Arial" w:hAnsi="Arial"/>
        <w:i/>
        <w:iCs/>
        <w:color w:val="AAAAAA"/>
        <w:sz w:val="16"/>
        <w:szCs w:val="16"/>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8c777ca5a5e3dae16289bc780bf046a3093c2da.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2026-05-27T19:00:37.123Z</dcterms:created>
  <dcterms:modified xsi:type="dcterms:W3CDTF">2026-05-27T19:00:37.123Z</dcterms:modified>
</cp:coreProperties>
</file>

<file path=docProps/custom.xml><?xml version="1.0" encoding="utf-8"?>
<Properties xmlns="http://schemas.openxmlformats.org/officeDocument/2006/custom-properties" xmlns:vt="http://schemas.openxmlformats.org/officeDocument/2006/docPropsVTypes"/>
</file>