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56976"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05-19 Consultation: STC and My Edge Network Solution-Summary</w:t>
      </w:r>
    </w:p>
    <w:p w14:paraId="611B8073"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Date &amp; Time: 2026-05-19 09:34:57</w:t>
      </w:r>
    </w:p>
    <w:p w14:paraId="771B988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Location: [Insert Location]</w:t>
      </w:r>
    </w:p>
    <w:p w14:paraId="78B7BB06"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Customer: STC</w:t>
      </w:r>
    </w:p>
    <w:p w14:paraId="3B8ECDBD"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Overview</w:t>
      </w:r>
    </w:p>
    <w:p w14:paraId="7077AF8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consultation was between the CCO of STC, a Hong Kong-based telecom infrastructure company, and the founders of My Edge, a network hardware/software provider. STC operates a portfolio of fiber and data center assets across Asia and Europe, focusing on infrastructure like submarine cables, data center interconnects (DCI), and internet exchanges, but not mobile services. They face significant complexity in managing their network, particularly with technologies like BGP and MPLS, and are exploring simpler, more efficient ways to provide dynamic connectivity. My Edge presented their solution: a hardware/software combination using DPUs and a cloud-based path computation engine to create dynamic, high-capacity, encrypted Ethernet paths, bypassing the complexities of BGP. They aim to simplify network management, enable rapid service deployment, and facilitate federation between different service providers. The primary goal for STC is to find a less complex and more cost-effective way to manage their network and offer dynamic Layer 2 services.</w:t>
      </w:r>
    </w:p>
    <w:p w14:paraId="3A961FD8"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Background</w:t>
      </w:r>
    </w:p>
    <w:p w14:paraId="2C506BB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STC is a telecommunications company, part of the I Squared Capital private equity fund, and focuses on infrastructure such as fiber and data centers. With a portfolio of eight telecom-related companies, STC has significant assets including submarine cables, data centers (including AI-focused ones), and fiber networks in regions like the Philippines. They were historically part of the Hutchison group. The company currently manages network connectivity using traditional methods which they find complex and expensive. They also run an internet exchange with AMS-IX. They have tried to implement SD-WAN but found it too complicated. My Edge is a startup founded by the team previously behind 128 Technology (acquired by Juniper) and Acme Packet (acquired by Oracle). They are introducing a new networking product that uses a Data Processing Unit (DPU) and a cloud-based path computation engine to simplify wide-area networking by creating dynamic Layer 2 Ethernet paths, effectively replacing the need for BGP in many use cases.</w:t>
      </w:r>
    </w:p>
    <w:p w14:paraId="24417246"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Pain Points</w:t>
      </w:r>
    </w:p>
    <w:p w14:paraId="7DC9A7A4"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complexity and cost of current network management technologies like BGP and MPLS is a significant burden. This complexity makes it difficult and expensive to dynamically manage network paths, provision services, and ensure reliable connectivity.</w:t>
      </w:r>
    </w:p>
    <w:p w14:paraId="3C3131F8"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Clear Problem Statement: STC finds technologies like BGP "too complicated" and MPLS difficult to manage, especially for use cases like load balancing and failover across their five subsea cables. They have also attempted to implement SD-WAN but found it overly complex and problematic.</w:t>
      </w:r>
    </w:p>
    <w:p w14:paraId="4656C671"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Impact: This complexity slows down service provisioning, increases operational overhead, and requires highly specialized technical staff. It creates a barrier to offering more dynamic and flexible services to customers. Troubleshooting is also more difficult.</w:t>
      </w:r>
    </w:p>
    <w:p w14:paraId="0A07C49B"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Current Situation: They currently use traditional routers and MPLS for tasks like load balancing. For cross-connects in their data centers, they use static configurations like patch panels.</w:t>
      </w:r>
    </w:p>
    <w:p w14:paraId="670E22D5"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Quantitative Metrics: A customer of My Edge replaced a complex MPLS setup across five subsea cables with the new solution, simplifying management.</w:t>
      </w:r>
    </w:p>
    <w:p w14:paraId="245B2BE2"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Examples: A key example discussed was a carrier with five subsea cables connecting an island that used complicated MPLS for load balancing and failover. Another example is the static nature of cross-connects in a "meet me room".</w:t>
      </w:r>
    </w:p>
    <w:p w14:paraId="58AF432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Context: STC operates a vast and diverse infrastructure, including data centers, DCI, and submarine cables, which magnifies the challenge of managing a complex Layer 3 network.</w:t>
      </w:r>
    </w:p>
    <w:p w14:paraId="56B04F5D"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Stakeholders: STC's network engineering and operations teams are directly affected, as are their end customers who experience the limitations of a static, complex network.</w:t>
      </w:r>
    </w:p>
    <w:p w14:paraId="44E189F6"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Expectations</w:t>
      </w:r>
    </w:p>
    <w:p w14:paraId="1B7680C8"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STC is looking for a solution to simplify network operations and create a more dynamic, programmable fabric across their infrastructure. They want to move away from the high complexity of BGP and MPLS while still delivering robust, high-performance Layer 2 services.</w:t>
      </w:r>
    </w:p>
    <w:p w14:paraId="2C37270A"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Specific Goals: The primary goal is to find a way to offer dynamic connectivity and Layer 2 services without the overhead of BGP or the complexity of SD-WAN. They want to transform their data centers into dynamic "gateways" for services like cloud on-ramps and AI connectivity. They also want to be able to bridge their peering points across different geographic locations (e.g., Malaysia and the Philippines) simply.</w:t>
      </w:r>
    </w:p>
    <w:p w14:paraId="5AE16ED1"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Success Metrics: Success would be measured by the ability to dynamically create Ethernet paths in "literally less than fifteen minutes", simplify failover and load balancing (e.g., across subsea cables), and offer new services (like "fabric in a box" for data center customers) with reduced operational complexity and cost. Improved customer satisfaction, as evidenced by a My Edge customer whose clients noted their circuits "have never worked so well," is another key indicator.</w:t>
      </w:r>
    </w:p>
    <w:p w14:paraId="15652D02"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Other Information Summary</w:t>
      </w:r>
    </w:p>
    <w:p w14:paraId="657C5A7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STC is part of the I Squared Capital PE fund and has a portfolio of 8 telecom companies, including assets from the former Hutchison group.</w:t>
      </w:r>
    </w:p>
    <w:p w14:paraId="6EA7CF5D"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My Edge's solution uses a Data Processing Unit (DPU) chip, previously used only by </w:t>
      </w:r>
      <w:proofErr w:type="spellStart"/>
      <w:r>
        <w:rPr>
          <w:rFonts w:ascii="AppleSystemUIFont" w:hAnsi="AppleSystemUIFont" w:cs="AppleSystemUIFont"/>
          <w:kern w:val="0"/>
          <w:sz w:val="26"/>
          <w:szCs w:val="26"/>
        </w:rPr>
        <w:t>hyperscalers</w:t>
      </w:r>
      <w:proofErr w:type="spellEnd"/>
      <w:r>
        <w:rPr>
          <w:rFonts w:ascii="AppleSystemUIFont" w:hAnsi="AppleSystemUIFont" w:cs="AppleSystemUIFont"/>
          <w:kern w:val="0"/>
          <w:sz w:val="26"/>
          <w:szCs w:val="26"/>
        </w:rPr>
        <w:t xml:space="preserve"> like Google, to handle networking functions in hardware.</w:t>
      </w:r>
    </w:p>
    <w:p w14:paraId="36CB02D8"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The My Edge platform can use both dedicated fiber (Layer 2) and Direct Internet Access (DIA) for underlay connectivity, enabling hybrid networking and backup paths.</w:t>
      </w:r>
    </w:p>
    <w:p w14:paraId="2538ED11"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The solution supports Q-in-Q, which aligns with how STC currently segments customers, making it easy to integrate.</w:t>
      </w:r>
    </w:p>
    <w:p w14:paraId="13EB5B6D"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My Edge provides a white-label customer portal that can be branded with the STC logo and offers end-to-end visibility, including telemetry from cloud providers like AWS and Azure.</w:t>
      </w:r>
    </w:p>
    <w:p w14:paraId="471F2B8E"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My Edge is on its third startup, with previous successful ventures including Acme Packet (acquired by Oracle) and 128 Technology (acquired by Juniper).</w:t>
      </w:r>
    </w:p>
    <w:p w14:paraId="11D6C0F4"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To-Do List</w:t>
      </w:r>
    </w:p>
    <w:p w14:paraId="76B5065C"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STC team (Cliff) to visit the My Edge booth on the show floor to see the physical equipment.</w:t>
      </w:r>
    </w:p>
    <w:p w14:paraId="19C200B1"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My Edge to follow up with STC to discuss potential pilot use cases, such as Layer 2 aggregation for enterprise services and simplifying subsea cable management.</w:t>
      </w:r>
    </w:p>
    <w:p w14:paraId="42A15726"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My Edge to prepare a demo of the portal and path creation process for the STC team.</w:t>
      </w:r>
    </w:p>
    <w:p w14:paraId="42992645"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Suggestions</w:t>
      </w:r>
    </w:p>
    <w:p w14:paraId="085DFA43"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AI has identified the client's biggest pain point as the overwhelming complexity and cost associated with traditional networking technologies like BGP and MPLS for managing their vast and diverse infrastructure. Here are some possible solutions for your consideration:</w:t>
      </w:r>
    </w:p>
    <w:p w14:paraId="1856A3F9"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Propose a Targeted Proof of Concept (PoC): Instead of a full-scale replacement, suggest a limited PoC focused on one of STC's specific pain points. A great candidate would be managing the failover and load balancing for two of their five subsea cables. This would provide a tangible, low-risk demonstration of how your solution simplifies operations and improves performance compared to their current complex MPLS setup.</w:t>
      </w:r>
    </w:p>
    <w:p w14:paraId="4EDD53CF"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"Fabric-in-a-Box" for a Single Data Center: Offer to deploy your solution in one of STC's data centers to create a "fabric-in-a-box." This would showcase the ability to offer dynamic, programmable cross-connects and simple on-ramps to public clouds via your federation capabilities. This directly addresses their static patch-panel problem and positions them as a modern, agile data center operator.</w:t>
      </w:r>
    </w:p>
    <w:p w14:paraId="1BE50990" w14:textId="77777777" w:rsidR="00B54E6B" w:rsidRDefault="00B54E6B" w:rsidP="00B54E6B">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Simplified Layer 2 Enterprise Service Aggregation: Since STC mentioned finding SD-WAN too complex, position your smaller device as a simple SD-WAN alternative for enterprise customers. Frame it as a way for STC to offer secure, high-performance Layer 2 aggregation services for use cases like CCTV or POS terminals, bypassing Layer 3 complexity entirely. This provides a direct, monetizable use case that solves a known customer problem.</w:t>
      </w:r>
    </w:p>
    <w:p w14:paraId="7458548E" w14:textId="3CAC993A" w:rsidR="00B5658E" w:rsidRDefault="00B54E6B" w:rsidP="00B54E6B">
      <w:pPr>
        <w:rPr>
          <w:rFonts w:ascii="AppleSystemUIFont" w:hAnsi="AppleSystemUIFont" w:cs="AppleSystemUIFont"/>
          <w:kern w:val="0"/>
          <w:sz w:val="26"/>
          <w:szCs w:val="26"/>
        </w:rPr>
      </w:pPr>
      <w:r>
        <w:rPr>
          <w:rFonts w:ascii="AppleSystemUIFont" w:hAnsi="AppleSystemUIFont" w:cs="AppleSystemUIFont"/>
          <w:kern w:val="0"/>
          <w:sz w:val="26"/>
          <w:szCs w:val="26"/>
        </w:rPr>
        <w:t>4. Highlight the Federation and Ecosystem Value: Emphasize the long-term strategic value of joining the My Edge ecosystem. Show how deploying your solution not only solves their internal complexity but also instantly connects them to other carriers like IENTC and public fabrics like Equinix. This transforms the conversation from a simple cost-saving tool to a strategic platform for global service expansion.</w:t>
      </w:r>
    </w:p>
    <w:p w14:paraId="75773F1C" w14:textId="77777777" w:rsidR="00B54E6B" w:rsidRDefault="00B54E6B" w:rsidP="00B54E6B"/>
    <w:sectPr w:rsidR="00B54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BE8B446A-A563-8044-AD61-2C1C879B770A}"/>
    <w:embedItalic r:id="rId2" w:fontKey="{84AA582B-2E9F-EC40-9AEB-31CAA08A5248}"/>
  </w:font>
  <w:font w:name="Times New Roman">
    <w:panose1 w:val="02020603050405020304"/>
    <w:charset w:val="00"/>
    <w:family w:val="roman"/>
    <w:pitch w:val="variable"/>
    <w:sig w:usb0="E0002EFF" w:usb1="C000785B" w:usb2="00000009" w:usb3="00000000" w:csb0="000001FF" w:csb1="00000000"/>
    <w:embedRegular r:id="rId3" w:fontKey="{DEC2BAE6-0D31-D647-A228-2C8467BB23C3}"/>
    <w:embedBold r:id="rId4" w:fontKey="{8340BAC5-E924-4149-B586-B115950963B7}"/>
    <w:embedItalic r:id="rId5" w:fontKey="{93F04BCE-91AC-BF40-B4AE-3537F02CAEDC}"/>
  </w:font>
  <w:font w:name="Aptos Display">
    <w:panose1 w:val="020B0004020202020204"/>
    <w:charset w:val="00"/>
    <w:family w:val="swiss"/>
    <w:pitch w:val="variable"/>
    <w:sig w:usb0="20000287" w:usb1="00000003" w:usb2="00000000" w:usb3="00000000" w:csb0="0000019F" w:csb1="00000000"/>
    <w:embedRegular r:id="rId6" w:fontKey="{3D42E27A-D9BD-BE4D-9816-079D7ADF09B2}"/>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6B"/>
    <w:rsid w:val="00200CF0"/>
    <w:rsid w:val="00417913"/>
    <w:rsid w:val="005C4E96"/>
    <w:rsid w:val="008C434E"/>
    <w:rsid w:val="00B54E6B"/>
    <w:rsid w:val="00B5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2C1E5"/>
  <w15:chartTrackingRefBased/>
  <w15:docId w15:val="{8180B070-EC8A-CB48-900E-AA55828E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E6B"/>
    <w:rPr>
      <w:rFonts w:eastAsiaTheme="majorEastAsia" w:cstheme="majorBidi"/>
      <w:color w:val="272727" w:themeColor="text1" w:themeTint="D8"/>
    </w:rPr>
  </w:style>
  <w:style w:type="paragraph" w:styleId="Title">
    <w:name w:val="Title"/>
    <w:basedOn w:val="Normal"/>
    <w:next w:val="Normal"/>
    <w:link w:val="TitleChar"/>
    <w:uiPriority w:val="10"/>
    <w:qFormat/>
    <w:rsid w:val="00B54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E6B"/>
    <w:pPr>
      <w:spacing w:before="160"/>
      <w:jc w:val="center"/>
    </w:pPr>
    <w:rPr>
      <w:i/>
      <w:iCs/>
      <w:color w:val="404040" w:themeColor="text1" w:themeTint="BF"/>
    </w:rPr>
  </w:style>
  <w:style w:type="character" w:customStyle="1" w:styleId="QuoteChar">
    <w:name w:val="Quote Char"/>
    <w:basedOn w:val="DefaultParagraphFont"/>
    <w:link w:val="Quote"/>
    <w:uiPriority w:val="29"/>
    <w:rsid w:val="00B54E6B"/>
    <w:rPr>
      <w:i/>
      <w:iCs/>
      <w:color w:val="404040" w:themeColor="text1" w:themeTint="BF"/>
    </w:rPr>
  </w:style>
  <w:style w:type="paragraph" w:styleId="ListParagraph">
    <w:name w:val="List Paragraph"/>
    <w:basedOn w:val="Normal"/>
    <w:uiPriority w:val="34"/>
    <w:qFormat/>
    <w:rsid w:val="00B54E6B"/>
    <w:pPr>
      <w:ind w:left="720"/>
      <w:contextualSpacing/>
    </w:pPr>
  </w:style>
  <w:style w:type="character" w:styleId="IntenseEmphasis">
    <w:name w:val="Intense Emphasis"/>
    <w:basedOn w:val="DefaultParagraphFont"/>
    <w:uiPriority w:val="21"/>
    <w:qFormat/>
    <w:rsid w:val="00B54E6B"/>
    <w:rPr>
      <w:i/>
      <w:iCs/>
      <w:color w:val="0F4761" w:themeColor="accent1" w:themeShade="BF"/>
    </w:rPr>
  </w:style>
  <w:style w:type="paragraph" w:styleId="IntenseQuote">
    <w:name w:val="Intense Quote"/>
    <w:basedOn w:val="Normal"/>
    <w:next w:val="Normal"/>
    <w:link w:val="IntenseQuoteChar"/>
    <w:uiPriority w:val="30"/>
    <w:qFormat/>
    <w:rsid w:val="00B54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E6B"/>
    <w:rPr>
      <w:i/>
      <w:iCs/>
      <w:color w:val="0F4761" w:themeColor="accent1" w:themeShade="BF"/>
    </w:rPr>
  </w:style>
  <w:style w:type="character" w:styleId="IntenseReference">
    <w:name w:val="Intense Reference"/>
    <w:basedOn w:val="DefaultParagraphFont"/>
    <w:uiPriority w:val="32"/>
    <w:qFormat/>
    <w:rsid w:val="00B54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7141</Characters>
  <Application>Microsoft Office Word</Application>
  <DocSecurity>0</DocSecurity>
  <Lines>118</Lines>
  <Paragraphs>38</Paragraphs>
  <ScaleCrop>false</ScaleCrop>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Ziemer</dc:creator>
  <cp:keywords/>
  <dc:description/>
  <cp:lastModifiedBy>Tim Ziemer</cp:lastModifiedBy>
  <cp:revision>1</cp:revision>
  <dcterms:created xsi:type="dcterms:W3CDTF">2026-05-22T18:24:00Z</dcterms:created>
  <dcterms:modified xsi:type="dcterms:W3CDTF">2026-05-22T18:24:00Z</dcterms:modified>
</cp:coreProperties>
</file>