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val="false"/>
          <w:bCs w:val="false"/>
        </w:rPr>
        <w:t xml:space="preserve">To: </w:t>
      </w:r>
      <w:r>
        <w:t xml:space="preserve">Michael Joeseph (Technium)</w:t>
      </w:r>
    </w:p>
    <w:p>
      <w:pPr>
        <w:spacing w:after="60"/>
      </w:pPr>
      <w:r>
        <w:t xml:space="preserve">From: Tim Ziemer, MaiaEdge</w:t>
      </w:r>
    </w:p>
    <w:p>
      <w:pPr>
        <w:spacing w:after="240"/>
      </w:pPr>
      <w:r>
        <w:t xml:space="preserve">Subject: Nexus SOW, sharing materials per our call</w:t>
      </w:r>
    </w:p>
    <w:p>
      <w:pPr>
        <w:spacing w:after="200"/>
      </w:pPr>
      <w:r>
        <w:t xml:space="preserve">Michael,</w:t>
      </w:r>
    </w:p>
    <w:p>
      <w:pPr>
        <w:spacing w:after="200"/>
      </w:pPr>
      <w:r>
        <w:t xml:space="preserve">Good talking with you earlier today. As I mentioned, we are under a real time crunch to get an SOW in front of Nexus for the Hubbard carrier hotel work, and I appreciate you being open to thinking through where Technium might be able to plug in.</w:t>
      </w:r>
    </w:p>
    <w:p>
      <w:pPr>
        <w:spacing w:after="200"/>
      </w:pPr>
      <w:r>
        <w:t xml:space="preserve">Quick recap of where things stand. MaiaEdge is on point for the network design and equipment side. Pearce is our partner for the physical install (racks, fiber layout, cabling pathways, field engineering). As we discussed, the working assumption is that Pearce takes the prime role on this engagement. The logic is straightforward: having a larger, well established firm standing behind the work gives the investors behind Nexus the comfort level they are looking for, and that is worth a lot at this stage.</w:t>
      </w:r>
    </w:p>
    <w:p>
      <w:pPr>
        <w:spacing w:after="200"/>
      </w:pPr>
      <w:r>
        <w:t xml:space="preserve">Where it gets less clear is whether Pearce will play any role beyond the physical install scope. They have hinted that other divisions of theirs might want a piece, but my concern is speed: I am not yet confident in how quickly they can mobilize to help us actually produce the SOW, and turnaround time is the immediate constraint.</w:t>
      </w:r>
    </w:p>
    <w:p>
      <w:pPr>
        <w:spacing w:after="200"/>
      </w:pPr>
      <w:r>
        <w:t xml:space="preserve">That is where I am hoping you can help me think this through. Attached are several documents to give you the lay of the land, including the high level network map MaiaEdge developed for Nexus. Take a look when you get a chance and let me know where you see Technium being able to contribute, especially anywhere you can move fast on SOW content (scoping, pricing inputs, narrative, BOM support, whatever you would be best positioned to drive).</w:t>
      </w:r>
    </w:p>
    <w:p>
      <w:pPr>
        <w:spacing w:after="240"/>
      </w:pPr>
      <w:r>
        <w:t xml:space="preserve">Happy to jump back on a call once you have had a chance to review. Given the timeline, sooner is better than later.</w:t>
      </w:r>
    </w:p>
    <w:p>
      <w:pPr>
        <w:spacing w:after="60"/>
      </w:pPr>
      <w:r>
        <w:t xml:space="preserve">Thanks,</w:t>
      </w:r>
    </w:p>
    <w:p>
      <w:pPr>
        <w:spacing w:after="60"/>
      </w:pPr>
      <w:r>
        <w:t xml:space="preserve">Tim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2026-05-01T13:13:43.931Z</dcterms:created>
  <dcterms:modified xsi:type="dcterms:W3CDTF">2026-05-01T13:13:43.931Z</dcterms:modified>
</cp:coreProperties>
</file>

<file path=docProps/custom.xml><?xml version="1.0" encoding="utf-8"?>
<Properties xmlns="http://schemas.openxmlformats.org/officeDocument/2006/custom-properties" xmlns:vt="http://schemas.openxmlformats.org/officeDocument/2006/docPropsVTypes"/>
</file>