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
      </w:pPr>
    </w:p>
    <w:p>
      <w:pPr>
        <w:spacing w:before="800" w:after="200"/>
      </w:pPr>
      <w:r>
        <w:rPr>
          <w:rFonts w:ascii="Tomorrow" w:hAnsi="Tomorrow" w:cs="Tomorrow"/>
          <w:b/>
          <w:i w:val="0"/>
          <w:color w:val="FF9400"/>
          <w:sz w:val="18"/>
          <w:caps/>
          <w:spacing w:val="40"/>
        </w:rPr>
        <w:t>MAIAEDGE NETWORKS  ·  ENGINEERING</w:t>
      </w:r>
    </w:p>
    <w:p>
      <w:pPr>
        <w:spacing w:before="0" w:after="0" w:line="252" w:lineRule="auto"/>
      </w:pPr>
      <w:r>
        <w:rPr>
          <w:rFonts w:ascii="Tomorrow" w:hAnsi="Tomorrow" w:cs="Tomorrow"/>
          <w:b/>
          <w:i w:val="0"/>
          <w:color w:val="000000"/>
          <w:sz w:val="68"/>
          <w:spacing w:val="-10"/>
        </w:rPr>
        <w:t>Statement of Work</w:t>
      </w:r>
    </w:p>
    <w:p>
      <w:pPr>
        <w:spacing w:before="40" w:after="160" w:line="276" w:lineRule="auto"/>
      </w:pPr>
      <w:r>
        <w:rPr>
          <w:rFonts w:ascii="Tomorrow" w:hAnsi="Tomorrow" w:cs="Tomorrow"/>
          <w:b/>
          <w:i w:val="0"/>
          <w:color w:val="FFC200"/>
          <w:sz w:val="36"/>
        </w:rPr>
        <w:t>Nexus Multi-Building Connectivity Architecture</w:t>
      </w:r>
    </w:p>
    <w:p>
      <w:pPr>
        <w:spacing w:before="0" w:after="400"/>
      </w:pPr>
      <w:r>
        <w:rPr>
          <w:rFonts w:ascii="Tomorrow" w:hAnsi="Tomorrow" w:cs="Tomorrow"/>
          <w:b w:val="0"/>
          <w:i/>
          <w:color w:val="4A4A4A"/>
          <w:sz w:val="24"/>
        </w:rPr>
        <w:t>Engineering Phase</w:t>
      </w:r>
    </w:p>
    <w:p>
      <w:pPr>
        <w:spacing w:before="0" w:after="14"/>
        <w:pBdr>
          <w:bottom w:val="single" w:sz="24" w:space="1" w:color="FFC200"/>
        </w:pBdr>
      </w:pPr>
    </w:p>
    <w:tbl>
      <w:tblPr>
        <w:tblW w:type="auto" w:w="0"/>
        <w:tblLayout w:type="fixed"/>
        <w:tblLook w:firstColumn="1" w:firstRow="1" w:lastColumn="0" w:lastRow="0" w:noHBand="0" w:noVBand="1" w:val="04A0"/>
        <w:tblLayout w:type="fixed"/>
        <w:tblInd w:w="0" w:type="dxa"/>
      </w:tblPr>
      <w:tblGrid>
        <w:gridCol w:w="4680"/>
        <w:gridCol w:w="4680"/>
      </w:tblGrid>
      <w:tr>
        <w:tc>
          <w:tcPr>
            <w:tcW w:type="dxa" w:w="2880"/>
            <w:tcMar>
              <w:top w:w="80" w:type="dxa"/>
              <w:right w:w="120" w:type="dxa"/>
              <w:bottom w:w="80" w:type="dxa"/>
              <w:left w:w="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i w:val="0"/>
                <w:color w:val="4A4A4A"/>
                <w:sz w:val="16"/>
              </w:rPr>
              <w:t>DOCUMENT VERSION</w:t>
            </w:r>
          </w:p>
        </w:tc>
        <w:tc>
          <w:tcPr>
            <w:tcW w:type="dxa" w:w="6480"/>
            <w:tcMar>
              <w:top w:w="80" w:type="dxa"/>
              <w:right w:w="120" w:type="dxa"/>
              <w:bottom w:w="80" w:type="dxa"/>
              <w:left w:w="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20"/>
              </w:rPr>
              <w:t>v1.0 — Draft for Review</w:t>
            </w:r>
          </w:p>
        </w:tc>
      </w:tr>
      <w:tr>
        <w:tc>
          <w:tcPr>
            <w:tcW w:type="dxa" w:w="2880"/>
            <w:tcMar>
              <w:top w:w="80" w:type="dxa"/>
              <w:right w:w="120" w:type="dxa"/>
              <w:bottom w:w="80" w:type="dxa"/>
              <w:left w:w="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i w:val="0"/>
                <w:color w:val="4A4A4A"/>
                <w:sz w:val="16"/>
              </w:rPr>
              <w:t>PREPARED BY</w:t>
            </w:r>
          </w:p>
        </w:tc>
        <w:tc>
          <w:tcPr>
            <w:tcW w:type="dxa" w:w="6480"/>
            <w:tcMar>
              <w:top w:w="80" w:type="dxa"/>
              <w:right w:w="120" w:type="dxa"/>
              <w:bottom w:w="80" w:type="dxa"/>
              <w:left w:w="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20"/>
              </w:rPr>
              <w:t>MaiaEdge Networks, Inc.</w:t>
            </w:r>
          </w:p>
        </w:tc>
      </w:tr>
      <w:tr>
        <w:tc>
          <w:tcPr>
            <w:tcW w:type="dxa" w:w="2880"/>
            <w:tcMar>
              <w:top w:w="80" w:type="dxa"/>
              <w:right w:w="120" w:type="dxa"/>
              <w:bottom w:w="80" w:type="dxa"/>
              <w:left w:w="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i w:val="0"/>
                <w:color w:val="4A4A4A"/>
                <w:sz w:val="16"/>
              </w:rPr>
              <w:t>PREPARED FOR</w:t>
            </w:r>
          </w:p>
        </w:tc>
        <w:tc>
          <w:tcPr>
            <w:tcW w:type="dxa" w:w="6480"/>
            <w:tcMar>
              <w:top w:w="80" w:type="dxa"/>
              <w:right w:w="120" w:type="dxa"/>
              <w:bottom w:w="80" w:type="dxa"/>
              <w:left w:w="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20"/>
              </w:rPr>
              <w:t>Nexus Data Centers</w:t>
            </w:r>
          </w:p>
        </w:tc>
      </w:tr>
      <w:tr>
        <w:tc>
          <w:tcPr>
            <w:tcW w:type="dxa" w:w="2880"/>
            <w:tcMar>
              <w:top w:w="80" w:type="dxa"/>
              <w:right w:w="120" w:type="dxa"/>
              <w:bottom w:w="80" w:type="dxa"/>
              <w:left w:w="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i w:val="0"/>
                <w:color w:val="4A4A4A"/>
                <w:sz w:val="16"/>
              </w:rPr>
              <w:t>DATE</w:t>
            </w:r>
          </w:p>
        </w:tc>
        <w:tc>
          <w:tcPr>
            <w:tcW w:type="dxa" w:w="6480"/>
            <w:tcMar>
              <w:top w:w="80" w:type="dxa"/>
              <w:right w:w="120" w:type="dxa"/>
              <w:bottom w:w="80" w:type="dxa"/>
              <w:left w:w="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20"/>
              </w:rPr>
              <w:t>May 2026</w:t>
            </w:r>
          </w:p>
        </w:tc>
      </w:tr>
      <w:tr>
        <w:tc>
          <w:tcPr>
            <w:tcW w:type="dxa" w:w="2880"/>
            <w:tcMar>
              <w:top w:w="80" w:type="dxa"/>
              <w:right w:w="120" w:type="dxa"/>
              <w:bottom w:w="80" w:type="dxa"/>
              <w:left w:w="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i w:val="0"/>
                <w:color w:val="4A4A4A"/>
                <w:sz w:val="16"/>
              </w:rPr>
              <w:t>CLASSIFICATION</w:t>
            </w:r>
          </w:p>
        </w:tc>
        <w:tc>
          <w:tcPr>
            <w:tcW w:type="dxa" w:w="6480"/>
            <w:tcMar>
              <w:top w:w="80" w:type="dxa"/>
              <w:right w:w="120" w:type="dxa"/>
              <w:bottom w:w="80" w:type="dxa"/>
              <w:left w:w="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20"/>
              </w:rPr>
              <w:t>Confidential &amp; Proprietary</w:t>
            </w:r>
          </w:p>
        </w:tc>
      </w:tr>
      <w:tr>
        <w:tc>
          <w:tcPr>
            <w:tcW w:type="dxa" w:w="2880"/>
            <w:tcMar>
              <w:top w:w="80" w:type="dxa"/>
              <w:right w:w="120" w:type="dxa"/>
              <w:bottom w:w="80" w:type="dxa"/>
              <w:left w:w="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i w:val="0"/>
                <w:color w:val="4A4A4A"/>
                <w:sz w:val="16"/>
              </w:rPr>
              <w:t>DOCUMENT OWNER</w:t>
            </w:r>
          </w:p>
        </w:tc>
        <w:tc>
          <w:tcPr>
            <w:tcW w:type="dxa" w:w="6480"/>
            <w:tcMar>
              <w:top w:w="80" w:type="dxa"/>
              <w:right w:w="120" w:type="dxa"/>
              <w:bottom w:w="80" w:type="dxa"/>
              <w:left w:w="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20"/>
              </w:rPr>
              <w:t>MaiaEdge Engineering Lead</w:t>
            </w:r>
          </w:p>
        </w:tc>
      </w:tr>
    </w:tbl>
    <w:p>
      <w:pPr>
        <w:spacing w:before="10" w:after="4"/>
        <w:pBdr>
          <w:bottom w:val="single" w:sz="12" w:space="1" w:color="FFC200"/>
        </w:pBdr>
      </w:pPr>
    </w:p>
    <w:p>
      <w:r>
        <w:br/>
      </w:r>
      <w:r>
        <w:br w:type="page"/>
      </w:r>
    </w:p>
    <w:p>
      <w:pPr>
        <w:spacing w:before="280" w:after="40"/>
      </w:pPr>
      <w:r>
        <w:rPr>
          <w:rFonts w:ascii="Tomorrow" w:hAnsi="Tomorrow" w:cs="Tomorrow"/>
          <w:b/>
          <w:i w:val="0"/>
          <w:color w:val="FF9400"/>
          <w:sz w:val="16"/>
          <w:caps/>
          <w:spacing w:val="40"/>
        </w:rPr>
        <w:t>SECTION  01</w:t>
      </w:r>
    </w:p>
    <w:p>
      <w:pPr>
        <w:spacing w:before="0" w:after="40"/>
      </w:pPr>
      <w:r>
        <w:rPr>
          <w:rFonts w:ascii="Tomorrow" w:hAnsi="Tomorrow" w:cs="Tomorrow"/>
          <w:b/>
          <w:i w:val="0"/>
          <w:color w:val="000000"/>
          <w:sz w:val="30"/>
          <w:spacing w:val="20"/>
        </w:rPr>
        <w:t>OBJECTIVE</w:t>
      </w:r>
    </w:p>
    <w:p>
      <w:pPr>
        <w:spacing w:before="0" w:after="120"/>
        <w:pBdr>
          <w:bottom w:val="single" w:sz="18" w:space="1" w:color="FFC200"/>
        </w:pBdr>
      </w:pPr>
    </w:p>
    <w:p>
      <w:pPr>
        <w:spacing w:before="0" w:after="80"/>
      </w:pPr>
      <w:r>
        <w:rPr>
          <w:rFonts w:ascii="Tomorrow" w:hAnsi="Tomorrow" w:cs="Tomorrow"/>
          <w:b w:val="0"/>
          <w:i w:val="0"/>
          <w:color w:val="1A1A1A"/>
          <w:sz w:val="20"/>
        </w:rPr>
        <w:t>This Statement of Work defines the engineering scope required to de-risk the delivery schedule for the initial 4-building deployment at Nexus Data Centers, while establishing scalable architecture capable of supporting up to 65 Nexus data center buildings across the portfolio.</w:t>
      </w:r>
    </w:p>
    <w:p>
      <w:pPr>
        <w:spacing w:before="4" w:after="6"/>
      </w:pPr>
      <w:r>
        <w:rPr>
          <w:rFonts w:ascii="Tomorrow" w:hAnsi="Tomorrow" w:cs="Tomorrow"/>
          <w:b w:val="0"/>
          <w:i w:val="0"/>
          <w:color w:val="1A1A1A"/>
          <w:sz w:val="20"/>
        </w:rPr>
        <w:t>This engineering phase is structured to achieve three primary outcomes:</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Achieve approximately 60% engineering completion across all design domains</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Produce procurement-ready outputs including full Bill of Materials and vendor specifications</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Enable a seamless transition to construction and deployment execution phases</w:t>
      </w:r>
    </w:p>
    <w:p>
      <w:pPr>
        <w:spacing w:before="10" w:after="80"/>
      </w:pPr>
      <w:r>
        <w:rPr>
          <w:rFonts w:ascii="Tomorrow" w:hAnsi="Tomorrow" w:cs="Tomorrow"/>
          <w:b w:val="0"/>
          <w:i w:val="0"/>
          <w:color w:val="1A1A1A"/>
          <w:sz w:val="20"/>
        </w:rPr>
        <w:t>This SOW covers engineering services only. Procurement execution, physical installation, and construction activities are explicitly excluded unless separately scoped.</w:t>
      </w:r>
    </w:p>
    <w:p>
      <w:pPr>
        <w:spacing w:before="280" w:after="40"/>
      </w:pPr>
      <w:r>
        <w:rPr>
          <w:rFonts w:ascii="Tomorrow" w:hAnsi="Tomorrow" w:cs="Tomorrow"/>
          <w:b/>
          <w:i w:val="0"/>
          <w:color w:val="FF9400"/>
          <w:sz w:val="16"/>
          <w:caps/>
          <w:spacing w:val="40"/>
        </w:rPr>
        <w:t>SECTION  02</w:t>
      </w:r>
    </w:p>
    <w:p>
      <w:pPr>
        <w:spacing w:before="0" w:after="40"/>
      </w:pPr>
      <w:r>
        <w:rPr>
          <w:rFonts w:ascii="Tomorrow" w:hAnsi="Tomorrow" w:cs="Tomorrow"/>
          <w:b/>
          <w:i w:val="0"/>
          <w:color w:val="000000"/>
          <w:sz w:val="30"/>
          <w:spacing w:val="20"/>
        </w:rPr>
        <w:t>SCOPE OF WORK</w:t>
      </w:r>
    </w:p>
    <w:p>
      <w:pPr>
        <w:spacing w:before="0" w:after="120"/>
        <w:pBdr>
          <w:bottom w:val="single" w:sz="18" w:space="1" w:color="FFC200"/>
        </w:pBdr>
      </w:pPr>
    </w:p>
    <w:p>
      <w:pPr>
        <w:spacing w:before="160" w:after="40"/>
      </w:pPr>
      <w:r>
        <w:rPr>
          <w:rFonts w:ascii="Tomorrow" w:hAnsi="Tomorrow" w:cs="Tomorrow"/>
          <w:b/>
          <w:i w:val="0"/>
          <w:color w:val="FFC200"/>
          <w:sz w:val="22"/>
        </w:rPr>
        <w:t xml:space="preserve">2.1  </w:t>
      </w:r>
      <w:r>
        <w:rPr>
          <w:rFonts w:ascii="Tomorrow" w:hAnsi="Tomorrow" w:cs="Tomorrow"/>
          <w:b/>
          <w:i w:val="0"/>
          <w:color w:val="1A1A1A"/>
          <w:sz w:val="22"/>
        </w:rPr>
        <w:t>Phase 1 — Initial 4-Building Deployment</w:t>
      </w:r>
    </w:p>
    <w:p>
      <w:pPr>
        <w:spacing w:before="0" w:after="4"/>
      </w:pPr>
      <w:r>
        <w:rPr>
          <w:rFonts w:ascii="Tomorrow" w:hAnsi="Tomorrow" w:cs="Tomorrow"/>
          <w:b w:val="0"/>
          <w:i w:val="0"/>
          <w:color w:val="1A1A1A"/>
          <w:sz w:val="20"/>
        </w:rPr>
        <w:t>MaiaEdge will develop a Low-Level Design (LLD) package covering all infrastructure layers required for the initial deployment:</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Meet-Me Room (MMR) / Carrier Hotel architecture and cage layout</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MaiaEdge PBC hardware deployment — placement, mounting, power, and cabling</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Fiber ingress and building entry point design</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Distribution layer topology and interconnect model</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Switch fabric integration — architecture and uplink design</w:t>
      </w:r>
    </w:p>
    <w:tbl>
      <w:tblPr>
        <w:tblW w:type="auto" w:w="0"/>
        <w:tblLayout w:type="fixed"/>
        <w:tblLook w:firstColumn="1" w:firstRow="1" w:lastColumn="0" w:lastRow="0" w:noHBand="0" w:noVBand="1" w:val="04A0"/>
        <w:tblLayout w:type="fixed"/>
        <w:tblInd w:w="0" w:type="dxa"/>
      </w:tblPr>
      <w:tblGrid>
        <w:gridCol w:w="9360"/>
      </w:tblGrid>
      <w:tr>
        <w:tc>
          <w:tcPr>
            <w:tcW w:type="dxa" w:w="9360"/>
            <w:shd w:val="clear" w:color="auto" w:fill="F4F2EE"/>
            <w:tcMar>
              <w:top w:w="160" w:type="dxa"/>
              <w:right w:w="200" w:type="dxa"/>
              <w:bottom w:w="160" w:type="dxa"/>
              <w:left w:w="200" w:type="dxa"/>
            </w:tcMar>
            <w:tcBorders>
              <w:top w:val="nil" w:sz="0" w:space="0" w:color="E5E1DA"/>
              <w:bottom w:val="nil" w:sz="0" w:space="0" w:color="E5E1DA"/>
              <w:left w:val="single" w:sz="24" w:space="0" w:color="FFC200"/>
              <w:right w:val="nil" w:sz="0" w:space="0" w:color="E5E1DA"/>
            </w:tcBorders>
          </w:tcPr>
          <w:p>
            <w:pPr>
              <w:spacing w:before="0" w:after="4"/>
            </w:pPr>
            <w:r>
              <w:rPr>
                <w:rFonts w:ascii="Tomorrow" w:hAnsi="Tomorrow" w:cs="Tomorrow"/>
                <w:b/>
                <w:i w:val="0"/>
                <w:color w:val="FF9400"/>
                <w:sz w:val="16"/>
              </w:rPr>
              <w:t>END-TO-END CONNECTIVITY MODEL</w:t>
            </w:r>
          </w:p>
          <w:p>
            <w:pPr>
              <w:spacing w:before="0" w:after="0"/>
            </w:pPr>
            <w:r>
              <w:rPr>
                <w:rFonts w:ascii="Tomorrow" w:hAnsi="Tomorrow" w:cs="Tomorrow"/>
                <w:b/>
                <w:i w:val="0"/>
                <w:color w:val="1A1A1A"/>
                <w:sz w:val="22"/>
              </w:rPr>
              <w:t>Carrier  →  MMR  →  PBC  →  Dark Fiber  →  Building  →  PBC  →  Switch Fabric</w:t>
            </w:r>
          </w:p>
        </w:tc>
      </w:tr>
    </w:tbl>
    <w:p>
      <w:pPr>
        <w:spacing w:before="0" w:after="6"/>
      </w:pPr>
    </w:p>
    <w:p>
      <w:pPr>
        <w:spacing w:before="160" w:after="40"/>
      </w:pPr>
      <w:r>
        <w:rPr>
          <w:rFonts w:ascii="Tomorrow" w:hAnsi="Tomorrow" w:cs="Tomorrow"/>
          <w:b/>
          <w:i w:val="0"/>
          <w:color w:val="FFC200"/>
          <w:sz w:val="22"/>
        </w:rPr>
        <w:t xml:space="preserve">2.2  </w:t>
      </w:r>
      <w:r>
        <w:rPr>
          <w:rFonts w:ascii="Tomorrow" w:hAnsi="Tomorrow" w:cs="Tomorrow"/>
          <w:b/>
          <w:i w:val="0"/>
          <w:color w:val="1A1A1A"/>
          <w:sz w:val="22"/>
        </w:rPr>
        <w:t>Fiber &amp; Infrastructure Design</w:t>
      </w:r>
    </w:p>
    <w:p>
      <w:pPr>
        <w:spacing w:before="0" w:after="4"/>
      </w:pPr>
      <w:r>
        <w:rPr>
          <w:rFonts w:ascii="Tomorrow" w:hAnsi="Tomorrow" w:cs="Tomorrow"/>
          <w:b w:val="0"/>
          <w:i w:val="0"/>
          <w:color w:val="1A1A1A"/>
          <w:sz w:val="20"/>
        </w:rPr>
        <w:t>Requirements definition will cover:</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Dark fiber ingress into the MMR and associated ODF cross-connect model</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Diverse fiber paths (A/B routes) to each building for high-availability design</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Interbuilding dark fiber mesh topology</w:t>
      </w:r>
    </w:p>
    <w:p>
      <w:pPr>
        <w:spacing w:before="6" w:after="4"/>
      </w:pPr>
      <w:r>
        <w:rPr>
          <w:rFonts w:ascii="Tomorrow" w:hAnsi="Tomorrow" w:cs="Tomorrow"/>
          <w:b w:val="0"/>
          <w:i w:val="0"/>
          <w:color w:val="1A1A1A"/>
          <w:sz w:val="20"/>
        </w:rPr>
        <w:t>Design deliverables will include:</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Building-to-building connectivity model (partial or full mesh, based on cost/scale trade-off)</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Fiber path diversity and routing assumptions documentation</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Defined handoff points between fiber provider, MMR, and each Nexus building</w:t>
      </w:r>
    </w:p>
    <w:p>
      <w:pPr>
        <w:spacing w:before="160" w:after="40"/>
      </w:pPr>
      <w:r>
        <w:rPr>
          <w:rFonts w:ascii="Tomorrow" w:hAnsi="Tomorrow" w:cs="Tomorrow"/>
          <w:b/>
          <w:i w:val="0"/>
          <w:color w:val="FFC200"/>
          <w:sz w:val="22"/>
        </w:rPr>
        <w:t xml:space="preserve">2.3  </w:t>
      </w:r>
      <w:r>
        <w:rPr>
          <w:rFonts w:ascii="Tomorrow" w:hAnsi="Tomorrow" w:cs="Tomorrow"/>
          <w:b/>
          <w:i w:val="0"/>
          <w:color w:val="1A1A1A"/>
          <w:sz w:val="22"/>
        </w:rPr>
        <w:t>MaiaEdge Infrastructure Design</w:t>
      </w:r>
    </w:p>
    <w:p>
      <w:pPr>
        <w:spacing w:before="0" w:after="4"/>
      </w:pPr>
      <w:r>
        <w:rPr>
          <w:rFonts w:ascii="Tomorrow" w:hAnsi="Tomorrow" w:cs="Tomorrow"/>
          <w:b w:val="0"/>
          <w:i w:val="0"/>
          <w:color w:val="1A1A1A"/>
          <w:sz w:val="20"/>
        </w:rPr>
        <w:t>MaiaEdge will define the hardware architecture across all sites:</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Dual cage architecture within the MMR — Primary and Secondary</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Dual PBC deployment per cage (PBC 2000 series) — Primary / Secondary failover model</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Symmetric connectivity from all PBCs to buildings — no single points of failure</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PBC placement, power, and connectivity design within each Nexus building</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Integration specifications between PBC and switching fabric</w:t>
      </w:r>
    </w:p>
    <w:p>
      <w:pPr>
        <w:spacing w:before="160" w:after="40"/>
      </w:pPr>
      <w:r>
        <w:rPr>
          <w:rFonts w:ascii="Tomorrow" w:hAnsi="Tomorrow" w:cs="Tomorrow"/>
          <w:b/>
          <w:i w:val="0"/>
          <w:color w:val="FFC200"/>
          <w:sz w:val="22"/>
        </w:rPr>
        <w:t xml:space="preserve">2.4  </w:t>
      </w:r>
      <w:r>
        <w:rPr>
          <w:rFonts w:ascii="Tomorrow" w:hAnsi="Tomorrow" w:cs="Tomorrow"/>
          <w:b/>
          <w:i w:val="0"/>
          <w:color w:val="1A1A1A"/>
          <w:sz w:val="22"/>
        </w:rPr>
        <w:t>Expansion Architecture (Up to 65 Buildings)</w:t>
      </w:r>
    </w:p>
    <w:p>
      <w:pPr>
        <w:spacing w:before="0" w:after="4"/>
      </w:pPr>
      <w:r>
        <w:rPr>
          <w:rFonts w:ascii="Tomorrow" w:hAnsi="Tomorrow" w:cs="Tomorrow"/>
          <w:b w:val="0"/>
          <w:i w:val="0"/>
          <w:color w:val="1A1A1A"/>
          <w:sz w:val="20"/>
        </w:rPr>
        <w:t>A scalable network CPE architecture framework will be developed in parallel with Phase 1 design, covering:</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Fiber expansion model — incremental fiber provisioning as new buildings are added</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Mesh and interconnect strategy — partial to full mesh transition thresholds</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Capacity planning assumptions — bandwidth, port density, and PBC scaling</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Modular deployment approach — standardized build-out templates per building</w:t>
      </w:r>
    </w:p>
    <w:p>
      <w:pPr>
        <w:spacing w:before="160" w:after="40"/>
      </w:pPr>
      <w:r>
        <w:rPr>
          <w:rFonts w:ascii="Tomorrow" w:hAnsi="Tomorrow" w:cs="Tomorrow"/>
          <w:b/>
          <w:i w:val="0"/>
          <w:color w:val="FFC200"/>
          <w:sz w:val="22"/>
        </w:rPr>
        <w:t xml:space="preserve">2.5  </w:t>
      </w:r>
      <w:r>
        <w:rPr>
          <w:rFonts w:ascii="Tomorrow" w:hAnsi="Tomorrow" w:cs="Tomorrow"/>
          <w:b/>
          <w:i w:val="0"/>
          <w:color w:val="1A1A1A"/>
          <w:sz w:val="22"/>
        </w:rPr>
        <w:t>Interface Coordination</w:t>
      </w:r>
    </w:p>
    <w:p>
      <w:pPr>
        <w:spacing w:before="0" w:after="4"/>
      </w:pPr>
      <w:r>
        <w:rPr>
          <w:rFonts w:ascii="Tomorrow" w:hAnsi="Tomorrow" w:cs="Tomorrow"/>
          <w:b w:val="0"/>
          <w:i w:val="0"/>
          <w:color w:val="1A1A1A"/>
          <w:sz w:val="20"/>
        </w:rPr>
        <w:t>Coordinate across all infrastructure interface parties:</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Dark fiber provider — critical dependency; will drive off-site routing and on-site delivery schedule</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Carrier coordination — based on current engagement model; inputs required for design assumptions</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Installation partners — constructability feedback and duration estimate inputs</w:t>
      </w:r>
    </w:p>
    <w:p>
      <w:pPr>
        <w:spacing w:before="6" w:after="80"/>
      </w:pPr>
      <w:r>
        <w:rPr>
          <w:rFonts w:ascii="Tomorrow" w:hAnsi="Tomorrow" w:cs="Tomorrow"/>
          <w:b w:val="0"/>
          <w:i w:val="0"/>
          <w:color w:val="1A1A1A"/>
          <w:sz w:val="20"/>
        </w:rPr>
        <w:t>Coordination activities include: regular design interface meetings, cross-party alignment sessions, and interface block diagram maintenance.</w:t>
      </w:r>
    </w:p>
    <w:p>
      <w:pPr>
        <w:spacing w:before="160" w:after="40"/>
      </w:pPr>
      <w:r>
        <w:rPr>
          <w:rFonts w:ascii="Tomorrow" w:hAnsi="Tomorrow" w:cs="Tomorrow"/>
          <w:b/>
          <w:i w:val="0"/>
          <w:color w:val="FFC200"/>
          <w:sz w:val="22"/>
        </w:rPr>
        <w:t xml:space="preserve">2.6  </w:t>
      </w:r>
      <w:r>
        <w:rPr>
          <w:rFonts w:ascii="Tomorrow" w:hAnsi="Tomorrow" w:cs="Tomorrow"/>
          <w:b/>
          <w:i w:val="0"/>
          <w:color w:val="1A1A1A"/>
          <w:sz w:val="22"/>
        </w:rPr>
        <w:t>Owner-Provided or Builder Data Required Information</w:t>
      </w:r>
    </w:p>
    <w:p>
      <w:pPr>
        <w:spacing w:before="0" w:after="8"/>
      </w:pPr>
      <w:r>
        <w:rPr>
          <w:rFonts w:ascii="Tomorrow" w:hAnsi="Tomorrow" w:cs="Tomorrow"/>
          <w:b w:val="0"/>
          <w:i w:val="0"/>
          <w:color w:val="1A1A1A"/>
          <w:sz w:val="20"/>
        </w:rPr>
        <w:t>This information is crucial so Pearce / CBRE technicians can install the equipment based upon design requirements.</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OSP Engineering Data</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Geospatial OSP fiber routing plans aligned to site layout</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Conduit pathway requirements and alignment</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Handhole / vault placement recommendations</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Building entry location definition</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Cable routing and segmentation plans</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Cable sizing and allocation (strand-level backbone definition)</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Splice enclosure locations and design</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Preliminary splice matrices</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Diversity validation (A/B physical separation)</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ISP Engineering Data</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Telecom room layouts (MMR, BDF, MDF, IDF as applicable)</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ODF layout and rack elevations</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Fiber pathway design within buildings (tray / riser coordination)</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Entrance → distribution room routing plans</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A/B pathway separation validation within building</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Data hall fiber distribution design (aligned to actual hall layouts)</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End-of-row / top-of-rack distribution layouts</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Tenant-ready distribution framework (if applicable)</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Fiber Systems Engineering &amp; Documentation</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Strand-level fiber assignments</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Final splice matrices</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ODF port assignments</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Patch panel layouts</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Cross-connect mapping</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Pre-terminated trunk cable schedules</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Labeling schema implementation (input may be required from Nexus team)</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Fiber naming conventions, finalized (input may be required from Nexus team)</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Documentation structure for fiber management system (input may be required from Nexus team)</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Construction Coordination &amp; Technical Oversight</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Participation in coordination meetings (GC, civil, MEP trades, low-voltage contractors)</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Review of contractor submittals</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Validation of installation against design intent</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Field issue resolution support</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Design clarification responses</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Punch list support</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Readiness reviews prior to testing / turnover</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Site &amp; Building Data</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Site master plan (CAD / BIM)</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Building floorplans</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Telecom Hotel — room and / or cage locations and sizes</w:t>
      </w:r>
    </w:p>
    <w:p>
      <w:pPr>
        <w:spacing w:before="0" w:after="20"/>
        <w:ind w:left="1224" w:hanging="360"/>
      </w:pPr>
      <w:r>
        <w:rPr>
          <w:rFonts w:ascii="Tomorrow" w:hAnsi="Tomorrow" w:cs="Tomorrow"/>
          <w:b/>
          <w:i w:val="0"/>
          <w:color w:val="FF9400"/>
          <w:sz w:val="19"/>
        </w:rPr>
        <w:t xml:space="preserve">›  </w:t>
      </w:r>
      <w:r>
        <w:rPr>
          <w:rFonts w:ascii="Tomorrow" w:hAnsi="Tomorrow" w:cs="Tomorrow"/>
          <w:b w:val="0"/>
          <w:i w:val="0"/>
          <w:color w:val="4A4A4A"/>
          <w:sz w:val="19"/>
        </w:rPr>
        <w:t>Data Halls — room and / or cage locations and sizes</w:t>
      </w:r>
    </w:p>
    <w:p>
      <w:pPr>
        <w:spacing w:before="280" w:after="40"/>
      </w:pPr>
      <w:r>
        <w:rPr>
          <w:rFonts w:ascii="Tomorrow" w:hAnsi="Tomorrow" w:cs="Tomorrow"/>
          <w:b/>
          <w:i w:val="0"/>
          <w:color w:val="FF9400"/>
          <w:sz w:val="16"/>
          <w:caps/>
          <w:spacing w:val="40"/>
        </w:rPr>
        <w:t>SECTION  03</w:t>
      </w:r>
    </w:p>
    <w:p>
      <w:pPr>
        <w:spacing w:before="0" w:after="40"/>
      </w:pPr>
      <w:r>
        <w:rPr>
          <w:rFonts w:ascii="Tomorrow" w:hAnsi="Tomorrow" w:cs="Tomorrow"/>
          <w:b/>
          <w:i w:val="0"/>
          <w:color w:val="000000"/>
          <w:sz w:val="30"/>
          <w:spacing w:val="20"/>
        </w:rPr>
        <w:t>DELIVERABLES &amp; DELIVERY SCHEDULE</w:t>
      </w:r>
    </w:p>
    <w:p>
      <w:pPr>
        <w:spacing w:before="0" w:after="120"/>
        <w:pBdr>
          <w:bottom w:val="single" w:sz="18" w:space="1" w:color="FFC200"/>
        </w:pBdr>
      </w:pPr>
    </w:p>
    <w:p>
      <w:pPr>
        <w:spacing w:before="0" w:after="8"/>
      </w:pPr>
      <w:r>
        <w:rPr>
          <w:rFonts w:ascii="Tomorrow" w:hAnsi="Tomorrow" w:cs="Tomorrow"/>
          <w:b w:val="0"/>
          <w:i w:val="0"/>
          <w:color w:val="1A1A1A"/>
          <w:sz w:val="20"/>
        </w:rPr>
        <w:t>All deliverables are structured against a T+0 engagement start date. The table below defines each deliverable, its category, and its target delivery milestone.</w:t>
      </w:r>
    </w:p>
    <w:tbl>
      <w:tblPr>
        <w:tblW w:type="auto" w:w="0"/>
        <w:jc w:val="center"/>
        <w:tblLayout w:type="fixed"/>
        <w:tblLook w:firstColumn="1" w:firstRow="1" w:lastColumn="0" w:lastRow="0" w:noHBand="0" w:noVBand="1" w:val="04A0"/>
        <w:tblLayout w:type="fixed"/>
        <w:tblInd w:w="0" w:type="dxa"/>
      </w:tblPr>
      <w:tblGrid>
        <w:gridCol w:w="3120"/>
        <w:gridCol w:w="3120"/>
        <w:gridCol w:w="3120"/>
      </w:tblGrid>
      <w:tr>
        <w:tc>
          <w:tcPr>
            <w:tcW w:type="dxa" w:w="4896"/>
            <w:vAlign w:val="center"/>
            <w:shd w:val="clear" w:color="auto" w:fill="000000"/>
            <w:tcMar>
              <w:top w:w="120" w:type="dxa"/>
              <w:right w:w="140" w:type="dxa"/>
              <w:bottom w:w="120" w:type="dxa"/>
              <w:left w:w="140" w:type="dxa"/>
            </w:tcMar>
            <w:tcBorders>
              <w:top w:val="nil" w:sz="0" w:space="0" w:color="E5E1DA"/>
              <w:bottom w:val="single" w:sz="12" w:space="0" w:color="FFC200"/>
              <w:left w:val="nil" w:sz="0" w:space="0" w:color="E5E1DA"/>
              <w:right w:val="nil" w:sz="0" w:space="0" w:color="E5E1DA"/>
            </w:tcBorders>
          </w:tcPr>
          <w:p>
            <w:pPr>
              <w:spacing w:before="0" w:after="0"/>
            </w:pPr>
            <w:r>
              <w:rPr>
                <w:rFonts w:ascii="Tomorrow" w:hAnsi="Tomorrow" w:cs="Tomorrow"/>
                <w:b/>
                <w:i w:val="0"/>
                <w:color w:val="FFC200"/>
                <w:sz w:val="16"/>
              </w:rPr>
              <w:t>DELIVERABLE</w:t>
            </w:r>
          </w:p>
        </w:tc>
        <w:tc>
          <w:tcPr>
            <w:tcW w:type="dxa" w:w="2664"/>
            <w:vAlign w:val="center"/>
            <w:shd w:val="clear" w:color="auto" w:fill="000000"/>
            <w:tcMar>
              <w:top w:w="120" w:type="dxa"/>
              <w:right w:w="140" w:type="dxa"/>
              <w:bottom w:w="120" w:type="dxa"/>
              <w:left w:w="140" w:type="dxa"/>
            </w:tcMar>
            <w:tcBorders>
              <w:top w:val="nil" w:sz="0" w:space="0" w:color="E5E1DA"/>
              <w:bottom w:val="single" w:sz="12" w:space="0" w:color="FFC200"/>
              <w:left w:val="nil" w:sz="0" w:space="0" w:color="E5E1DA"/>
              <w:right w:val="nil" w:sz="0" w:space="0" w:color="E5E1DA"/>
            </w:tcBorders>
          </w:tcPr>
          <w:p>
            <w:pPr>
              <w:spacing w:before="0" w:after="0"/>
            </w:pPr>
            <w:r>
              <w:rPr>
                <w:rFonts w:ascii="Tomorrow" w:hAnsi="Tomorrow" w:cs="Tomorrow"/>
                <w:b/>
                <w:i w:val="0"/>
                <w:color w:val="FFC200"/>
                <w:sz w:val="16"/>
              </w:rPr>
              <w:t>CATEGORY</w:t>
            </w:r>
          </w:p>
        </w:tc>
        <w:tc>
          <w:tcPr>
            <w:tcW w:type="dxa" w:w="1800"/>
            <w:vAlign w:val="center"/>
            <w:shd w:val="clear" w:color="auto" w:fill="000000"/>
            <w:tcMar>
              <w:top w:w="120" w:type="dxa"/>
              <w:right w:w="140" w:type="dxa"/>
              <w:bottom w:w="120" w:type="dxa"/>
              <w:left w:w="140" w:type="dxa"/>
            </w:tcMar>
            <w:tcBorders>
              <w:top w:val="nil" w:sz="0" w:space="0" w:color="E5E1DA"/>
              <w:bottom w:val="single" w:sz="12" w:space="0" w:color="FFC200"/>
              <w:left w:val="nil" w:sz="0" w:space="0" w:color="E5E1DA"/>
              <w:right w:val="nil" w:sz="0" w:space="0" w:color="E5E1DA"/>
            </w:tcBorders>
          </w:tcPr>
          <w:p>
            <w:pPr>
              <w:spacing w:before="0" w:after="0"/>
            </w:pPr>
            <w:r>
              <w:rPr>
                <w:rFonts w:ascii="Tomorrow" w:hAnsi="Tomorrow" w:cs="Tomorrow"/>
                <w:b/>
                <w:i w:val="0"/>
                <w:color w:val="FFC200"/>
                <w:sz w:val="16"/>
              </w:rPr>
              <w:t>TARGET</w:t>
            </w:r>
          </w:p>
        </w:tc>
      </w:tr>
      <w:tr>
        <w:tc>
          <w:tcPr>
            <w:tcW w:type="dxa" w:w="4896"/>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Kickoff Meeting — Agenda, Attendees, Decision Log</w:t>
            </w:r>
          </w:p>
        </w:tc>
        <w:tc>
          <w:tcPr>
            <w:tcW w:type="dxa" w:w="2664"/>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Project Initiation</w:t>
            </w:r>
          </w:p>
        </w:tc>
        <w:tc>
          <w:tcPr>
            <w:tcW w:type="dxa" w:w="180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T+0 (Day 1)</w:t>
            </w:r>
          </w:p>
        </w:tc>
      </w:tr>
      <w:tr>
        <w:tc>
          <w:tcPr>
            <w:tcW w:type="dxa" w:w="4896"/>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Technical Input Request — Required data from Nexus / fiber provider</w:t>
            </w:r>
          </w:p>
        </w:tc>
        <w:tc>
          <w:tcPr>
            <w:tcW w:type="dxa" w:w="2664"/>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Project Initiation</w:t>
            </w:r>
          </w:p>
        </w:tc>
        <w:tc>
          <w:tcPr>
            <w:tcW w:type="dxa" w:w="1800"/>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T+0 (Day 1)</w:t>
            </w:r>
          </w:p>
        </w:tc>
      </w:tr>
      <w:tr>
        <w:tc>
          <w:tcPr>
            <w:tcW w:type="dxa" w:w="4896"/>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Baseline Architecture Assumptions Document</w:t>
            </w:r>
          </w:p>
        </w:tc>
        <w:tc>
          <w:tcPr>
            <w:tcW w:type="dxa" w:w="2664"/>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Design Foundation</w:t>
            </w:r>
          </w:p>
        </w:tc>
        <w:tc>
          <w:tcPr>
            <w:tcW w:type="dxa" w:w="180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T+2 weeks</w:t>
            </w:r>
          </w:p>
        </w:tc>
      </w:tr>
      <w:tr>
        <w:tc>
          <w:tcPr>
            <w:tcW w:type="dxa" w:w="4896"/>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Interface Block Diagram (Fiber Provider / Carrier / Nexus / MaiaEdge)</w:t>
            </w:r>
          </w:p>
        </w:tc>
        <w:tc>
          <w:tcPr>
            <w:tcW w:type="dxa" w:w="2664"/>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Design Foundation</w:t>
            </w:r>
          </w:p>
        </w:tc>
        <w:tc>
          <w:tcPr>
            <w:tcW w:type="dxa" w:w="1800"/>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T+2 weeks</w:t>
            </w:r>
          </w:p>
        </w:tc>
      </w:tr>
      <w:tr>
        <w:tc>
          <w:tcPr>
            <w:tcW w:type="dxa" w:w="4896"/>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Phase 1 Low-Level Design (LLD) — All 4 buildings</w:t>
            </w:r>
          </w:p>
        </w:tc>
        <w:tc>
          <w:tcPr>
            <w:tcW w:type="dxa" w:w="2664"/>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Phase 1 Design</w:t>
            </w:r>
          </w:p>
        </w:tc>
        <w:tc>
          <w:tcPr>
            <w:tcW w:type="dxa" w:w="180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T+4 weeks</w:t>
            </w:r>
          </w:p>
        </w:tc>
      </w:tr>
      <w:tr>
        <w:tc>
          <w:tcPr>
            <w:tcW w:type="dxa" w:w="4896"/>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MMR / Carrier Hotel Architecture Design Package</w:t>
            </w:r>
          </w:p>
        </w:tc>
        <w:tc>
          <w:tcPr>
            <w:tcW w:type="dxa" w:w="2664"/>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Phase 1 Design</w:t>
            </w:r>
          </w:p>
        </w:tc>
        <w:tc>
          <w:tcPr>
            <w:tcW w:type="dxa" w:w="1800"/>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T+4 weeks</w:t>
            </w:r>
          </w:p>
        </w:tc>
      </w:tr>
      <w:tr>
        <w:tc>
          <w:tcPr>
            <w:tcW w:type="dxa" w:w="4896"/>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Building Connectivity Design — Per-building topology</w:t>
            </w:r>
          </w:p>
        </w:tc>
        <w:tc>
          <w:tcPr>
            <w:tcW w:type="dxa" w:w="2664"/>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Phase 1 Design</w:t>
            </w:r>
          </w:p>
        </w:tc>
        <w:tc>
          <w:tcPr>
            <w:tcW w:type="dxa" w:w="180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T+4 weeks</w:t>
            </w:r>
          </w:p>
        </w:tc>
      </w:tr>
      <w:tr>
        <w:tc>
          <w:tcPr>
            <w:tcW w:type="dxa" w:w="4896"/>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Interbuilding Fiber Mesh Design</w:t>
            </w:r>
          </w:p>
        </w:tc>
        <w:tc>
          <w:tcPr>
            <w:tcW w:type="dxa" w:w="2664"/>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Phase 1 Design</w:t>
            </w:r>
          </w:p>
        </w:tc>
        <w:tc>
          <w:tcPr>
            <w:tcW w:type="dxa" w:w="1800"/>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T+4 weeks</w:t>
            </w:r>
          </w:p>
        </w:tc>
      </w:tr>
      <w:tr>
        <w:tc>
          <w:tcPr>
            <w:tcW w:type="dxa" w:w="4896"/>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Bill of Materials (BOM) — Phase 1, equipment &amp; fiber</w:t>
            </w:r>
          </w:p>
        </w:tc>
        <w:tc>
          <w:tcPr>
            <w:tcW w:type="dxa" w:w="2664"/>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Procurement Readiness</w:t>
            </w:r>
          </w:p>
        </w:tc>
        <w:tc>
          <w:tcPr>
            <w:tcW w:type="dxa" w:w="180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T+6 weeks</w:t>
            </w:r>
          </w:p>
        </w:tc>
      </w:tr>
      <w:tr>
        <w:tc>
          <w:tcPr>
            <w:tcW w:type="dxa" w:w="4896"/>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Material Takeoff (MTO) — Structured by building and layer</w:t>
            </w:r>
          </w:p>
        </w:tc>
        <w:tc>
          <w:tcPr>
            <w:tcW w:type="dxa" w:w="2664"/>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Procurement Readiness</w:t>
            </w:r>
          </w:p>
        </w:tc>
        <w:tc>
          <w:tcPr>
            <w:tcW w:type="dxa" w:w="1800"/>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T+6 weeks</w:t>
            </w:r>
          </w:p>
        </w:tc>
      </w:tr>
      <w:tr>
        <w:tc>
          <w:tcPr>
            <w:tcW w:type="dxa" w:w="4896"/>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Long-Lead Item Identification &amp; Vendor Recommendation</w:t>
            </w:r>
          </w:p>
        </w:tc>
        <w:tc>
          <w:tcPr>
            <w:tcW w:type="dxa" w:w="2664"/>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Procurement Readiness</w:t>
            </w:r>
          </w:p>
        </w:tc>
        <w:tc>
          <w:tcPr>
            <w:tcW w:type="dxa" w:w="180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T+6 weeks</w:t>
            </w:r>
          </w:p>
        </w:tc>
      </w:tr>
      <w:tr>
        <w:tc>
          <w:tcPr>
            <w:tcW w:type="dxa" w:w="4896"/>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Building Infrastructure Specifications</w:t>
            </w:r>
          </w:p>
        </w:tc>
        <w:tc>
          <w:tcPr>
            <w:tcW w:type="dxa" w:w="2664"/>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Procurement Readiness</w:t>
            </w:r>
          </w:p>
        </w:tc>
        <w:tc>
          <w:tcPr>
            <w:tcW w:type="dxa" w:w="1800"/>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T+6 weeks</w:t>
            </w:r>
          </w:p>
        </w:tc>
      </w:tr>
      <w:tr>
        <w:tc>
          <w:tcPr>
            <w:tcW w:type="dxa" w:w="4896"/>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Fiber Design &amp; Routing Assumptions Document</w:t>
            </w:r>
          </w:p>
        </w:tc>
        <w:tc>
          <w:tcPr>
            <w:tcW w:type="dxa" w:w="2664"/>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Procurement Readiness</w:t>
            </w:r>
          </w:p>
        </w:tc>
        <w:tc>
          <w:tcPr>
            <w:tcW w:type="dxa" w:w="180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T+6 weeks</w:t>
            </w:r>
          </w:p>
        </w:tc>
      </w:tr>
      <w:tr>
        <w:tc>
          <w:tcPr>
            <w:tcW w:type="dxa" w:w="4896"/>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MaiaEdge PBC Deployment Specifications (all sites)</w:t>
            </w:r>
          </w:p>
        </w:tc>
        <w:tc>
          <w:tcPr>
            <w:tcW w:type="dxa" w:w="2664"/>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Procurement Readiness</w:t>
            </w:r>
          </w:p>
        </w:tc>
        <w:tc>
          <w:tcPr>
            <w:tcW w:type="dxa" w:w="1800"/>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T+6 weeks</w:t>
            </w:r>
          </w:p>
        </w:tc>
      </w:tr>
      <w:tr>
        <w:tc>
          <w:tcPr>
            <w:tcW w:type="dxa" w:w="4896"/>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Vendor-Neutral Equipment Specifications &amp; Data Sheets</w:t>
            </w:r>
          </w:p>
        </w:tc>
        <w:tc>
          <w:tcPr>
            <w:tcW w:type="dxa" w:w="2664"/>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Procurement Readiness</w:t>
            </w:r>
          </w:p>
        </w:tc>
        <w:tc>
          <w:tcPr>
            <w:tcW w:type="dxa" w:w="180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T+6 weeks</w:t>
            </w:r>
          </w:p>
        </w:tc>
      </w:tr>
      <w:tr>
        <w:tc>
          <w:tcPr>
            <w:tcW w:type="dxa" w:w="4896"/>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Expansion Architecture Document (to 65 buildings)</w:t>
            </w:r>
          </w:p>
        </w:tc>
        <w:tc>
          <w:tcPr>
            <w:tcW w:type="dxa" w:w="2664"/>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Expansion Planning</w:t>
            </w:r>
          </w:p>
        </w:tc>
        <w:tc>
          <w:tcPr>
            <w:tcW w:type="dxa" w:w="1800"/>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T+8 weeks</w:t>
            </w:r>
          </w:p>
        </w:tc>
      </w:tr>
      <w:tr>
        <w:tc>
          <w:tcPr>
            <w:tcW w:type="dxa" w:w="4896"/>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Capacity Planning Model — Bandwidth, port density, PBC scale</w:t>
            </w:r>
          </w:p>
        </w:tc>
        <w:tc>
          <w:tcPr>
            <w:tcW w:type="dxa" w:w="2664"/>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Expansion Planning</w:t>
            </w:r>
          </w:p>
        </w:tc>
        <w:tc>
          <w:tcPr>
            <w:tcW w:type="dxa" w:w="180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T+8 weeks</w:t>
            </w:r>
          </w:p>
        </w:tc>
      </w:tr>
      <w:tr>
        <w:tc>
          <w:tcPr>
            <w:tcW w:type="dxa" w:w="4896"/>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Construction-Ready Handoff Package — Phase 1</w:t>
            </w:r>
          </w:p>
        </w:tc>
        <w:tc>
          <w:tcPr>
            <w:tcW w:type="dxa" w:w="2664"/>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Execution Prep</w:t>
            </w:r>
          </w:p>
        </w:tc>
        <w:tc>
          <w:tcPr>
            <w:tcW w:type="dxa" w:w="1800"/>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T+12 weeks</w:t>
            </w:r>
          </w:p>
        </w:tc>
      </w:tr>
      <w:tr>
        <w:tc>
          <w:tcPr>
            <w:tcW w:type="dxa" w:w="4896"/>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Installation Duration Estimates (per building)</w:t>
            </w:r>
          </w:p>
        </w:tc>
        <w:tc>
          <w:tcPr>
            <w:tcW w:type="dxa" w:w="2664"/>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Execution Prep</w:t>
            </w:r>
          </w:p>
        </w:tc>
        <w:tc>
          <w:tcPr>
            <w:tcW w:type="dxa" w:w="180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T+12 weeks</w:t>
            </w:r>
          </w:p>
        </w:tc>
      </w:tr>
      <w:tr>
        <w:tc>
          <w:tcPr>
            <w:tcW w:type="dxa" w:w="4896"/>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High-Level Cost Model — Infrastructure, Equipment, Deployment</w:t>
            </w:r>
          </w:p>
        </w:tc>
        <w:tc>
          <w:tcPr>
            <w:tcW w:type="dxa" w:w="2664"/>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Execution Prep</w:t>
            </w:r>
          </w:p>
        </w:tc>
        <w:tc>
          <w:tcPr>
            <w:tcW w:type="dxa" w:w="1800"/>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T+12 weeks</w:t>
            </w:r>
          </w:p>
        </w:tc>
      </w:tr>
      <w:tr>
        <w:tc>
          <w:tcPr>
            <w:tcW w:type="dxa" w:w="4896"/>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GMP / NTE Readiness Package</w:t>
            </w:r>
          </w:p>
        </w:tc>
        <w:tc>
          <w:tcPr>
            <w:tcW w:type="dxa" w:w="2664"/>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Commercial Enablement</w:t>
            </w:r>
          </w:p>
        </w:tc>
        <w:tc>
          <w:tcPr>
            <w:tcW w:type="dxa" w:w="180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T+12 weeks</w:t>
            </w:r>
          </w:p>
        </w:tc>
      </w:tr>
    </w:tbl>
    <w:p>
      <w:pPr>
        <w:spacing w:before="280" w:after="40"/>
      </w:pPr>
      <w:r>
        <w:rPr>
          <w:rFonts w:ascii="Tomorrow" w:hAnsi="Tomorrow" w:cs="Tomorrow"/>
          <w:b/>
          <w:i w:val="0"/>
          <w:color w:val="FF9400"/>
          <w:sz w:val="16"/>
          <w:caps/>
          <w:spacing w:val="40"/>
        </w:rPr>
        <w:t>SECTION  04</w:t>
      </w:r>
    </w:p>
    <w:p>
      <w:pPr>
        <w:spacing w:before="0" w:after="40"/>
      </w:pPr>
      <w:r>
        <w:rPr>
          <w:rFonts w:ascii="Tomorrow" w:hAnsi="Tomorrow" w:cs="Tomorrow"/>
          <w:b/>
          <w:i w:val="0"/>
          <w:color w:val="000000"/>
          <w:sz w:val="30"/>
          <w:spacing w:val="20"/>
        </w:rPr>
        <w:t>PROJECT MILESTONES</w:t>
      </w:r>
    </w:p>
    <w:p>
      <w:pPr>
        <w:spacing w:before="0" w:after="120"/>
        <w:pBdr>
          <w:bottom w:val="single" w:sz="18" w:space="1" w:color="FFC200"/>
        </w:pBdr>
      </w:pPr>
    </w:p>
    <w:tbl>
      <w:tblPr>
        <w:tblW w:type="auto" w:w="0"/>
        <w:jc w:val="center"/>
        <w:tblLayout w:type="fixed"/>
        <w:tblLook w:firstColumn="1" w:firstRow="1" w:lastColumn="0" w:lastRow="0" w:noHBand="0" w:noVBand="1" w:val="04A0"/>
        <w:tblLayout w:type="fixed"/>
        <w:tblInd w:w="0" w:type="dxa"/>
      </w:tblPr>
      <w:tblGrid>
        <w:gridCol w:w="3120"/>
        <w:gridCol w:w="3120"/>
        <w:gridCol w:w="3120"/>
      </w:tblGrid>
      <w:tr>
        <w:tc>
          <w:tcPr>
            <w:tcW w:type="dxa" w:w="3312"/>
            <w:vAlign w:val="center"/>
            <w:shd w:val="clear" w:color="auto" w:fill="000000"/>
            <w:tcMar>
              <w:top w:w="120" w:type="dxa"/>
              <w:right w:w="140" w:type="dxa"/>
              <w:bottom w:w="120" w:type="dxa"/>
              <w:left w:w="140" w:type="dxa"/>
            </w:tcMar>
            <w:tcBorders>
              <w:top w:val="nil" w:sz="0" w:space="0" w:color="E5E1DA"/>
              <w:bottom w:val="single" w:sz="12" w:space="0" w:color="FFC200"/>
              <w:left w:val="nil" w:sz="0" w:space="0" w:color="E5E1DA"/>
              <w:right w:val="nil" w:sz="0" w:space="0" w:color="E5E1DA"/>
            </w:tcBorders>
          </w:tcPr>
          <w:p>
            <w:pPr>
              <w:spacing w:before="0" w:after="0"/>
            </w:pPr>
            <w:r>
              <w:rPr>
                <w:rFonts w:ascii="Tomorrow" w:hAnsi="Tomorrow" w:cs="Tomorrow"/>
                <w:b/>
                <w:i w:val="0"/>
                <w:color w:val="FFC200"/>
                <w:sz w:val="16"/>
              </w:rPr>
              <w:t>MILESTONE</w:t>
            </w:r>
          </w:p>
        </w:tc>
        <w:tc>
          <w:tcPr>
            <w:tcW w:type="dxa" w:w="4608"/>
            <w:vAlign w:val="center"/>
            <w:shd w:val="clear" w:color="auto" w:fill="000000"/>
            <w:tcMar>
              <w:top w:w="120" w:type="dxa"/>
              <w:right w:w="140" w:type="dxa"/>
              <w:bottom w:w="120" w:type="dxa"/>
              <w:left w:w="140" w:type="dxa"/>
            </w:tcMar>
            <w:tcBorders>
              <w:top w:val="nil" w:sz="0" w:space="0" w:color="E5E1DA"/>
              <w:bottom w:val="single" w:sz="12" w:space="0" w:color="FFC200"/>
              <w:left w:val="nil" w:sz="0" w:space="0" w:color="E5E1DA"/>
              <w:right w:val="nil" w:sz="0" w:space="0" w:color="E5E1DA"/>
            </w:tcBorders>
          </w:tcPr>
          <w:p>
            <w:pPr>
              <w:spacing w:before="0" w:after="0"/>
            </w:pPr>
            <w:r>
              <w:rPr>
                <w:rFonts w:ascii="Tomorrow" w:hAnsi="Tomorrow" w:cs="Tomorrow"/>
                <w:b/>
                <w:i w:val="0"/>
                <w:color w:val="FFC200"/>
                <w:sz w:val="16"/>
              </w:rPr>
              <w:t>DELIVERABLE GATE</w:t>
            </w:r>
          </w:p>
        </w:tc>
        <w:tc>
          <w:tcPr>
            <w:tcW w:type="dxa" w:w="1440"/>
            <w:vAlign w:val="center"/>
            <w:shd w:val="clear" w:color="auto" w:fill="000000"/>
            <w:tcMar>
              <w:top w:w="120" w:type="dxa"/>
              <w:right w:w="140" w:type="dxa"/>
              <w:bottom w:w="120" w:type="dxa"/>
              <w:left w:w="140" w:type="dxa"/>
            </w:tcMar>
            <w:tcBorders>
              <w:top w:val="nil" w:sz="0" w:space="0" w:color="E5E1DA"/>
              <w:bottom w:val="single" w:sz="12" w:space="0" w:color="FFC200"/>
              <w:left w:val="nil" w:sz="0" w:space="0" w:color="E5E1DA"/>
              <w:right w:val="nil" w:sz="0" w:space="0" w:color="E5E1DA"/>
            </w:tcBorders>
          </w:tcPr>
          <w:p>
            <w:pPr>
              <w:spacing w:before="0" w:after="0"/>
            </w:pPr>
            <w:r>
              <w:rPr>
                <w:rFonts w:ascii="Tomorrow" w:hAnsi="Tomorrow" w:cs="Tomorrow"/>
                <w:b/>
                <w:i w:val="0"/>
                <w:color w:val="FFC200"/>
                <w:sz w:val="16"/>
              </w:rPr>
              <w:t>TARGET WEEK</w:t>
            </w:r>
          </w:p>
        </w:tc>
      </w:tr>
      <w:tr>
        <w:tc>
          <w:tcPr>
            <w:tcW w:type="dxa" w:w="3312"/>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M1 — Engagement Launch</w:t>
            </w:r>
          </w:p>
        </w:tc>
        <w:tc>
          <w:tcPr>
            <w:tcW w:type="dxa" w:w="4608"/>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Technical inputs received; kickoff complete; assumptions baseline published</w:t>
            </w:r>
          </w:p>
        </w:tc>
        <w:tc>
          <w:tcPr>
            <w:tcW w:type="dxa" w:w="144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Week 1</w:t>
            </w:r>
          </w:p>
        </w:tc>
      </w:tr>
      <w:tr>
        <w:tc>
          <w:tcPr>
            <w:tcW w:type="dxa" w:w="3312"/>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M2 — Architecture Foundation</w:t>
            </w:r>
          </w:p>
        </w:tc>
        <w:tc>
          <w:tcPr>
            <w:tcW w:type="dxa" w:w="4608"/>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Interface Block Diagram approved; LLD scope locked</w:t>
            </w:r>
          </w:p>
        </w:tc>
        <w:tc>
          <w:tcPr>
            <w:tcW w:type="dxa" w:w="1440"/>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Week 2</w:t>
            </w:r>
          </w:p>
        </w:tc>
      </w:tr>
      <w:tr>
        <w:tc>
          <w:tcPr>
            <w:tcW w:type="dxa" w:w="3312"/>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M3 — Phase 1 LLD Complete</w:t>
            </w:r>
          </w:p>
        </w:tc>
        <w:tc>
          <w:tcPr>
            <w:tcW w:type="dxa" w:w="4608"/>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All 4-building designs complete and under review</w:t>
            </w:r>
          </w:p>
        </w:tc>
        <w:tc>
          <w:tcPr>
            <w:tcW w:type="dxa" w:w="144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Week 4</w:t>
            </w:r>
          </w:p>
        </w:tc>
      </w:tr>
      <w:tr>
        <w:tc>
          <w:tcPr>
            <w:tcW w:type="dxa" w:w="3312"/>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M4 — Procurement Package Complete</w:t>
            </w:r>
          </w:p>
        </w:tc>
        <w:tc>
          <w:tcPr>
            <w:tcW w:type="dxa" w:w="4608"/>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BOM, MTO, specs, and long-lead items delivered</w:t>
            </w:r>
          </w:p>
        </w:tc>
        <w:tc>
          <w:tcPr>
            <w:tcW w:type="dxa" w:w="1440"/>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Week 6–8</w:t>
            </w:r>
          </w:p>
        </w:tc>
      </w:tr>
      <w:tr>
        <w:tc>
          <w:tcPr>
            <w:tcW w:type="dxa" w:w="3312"/>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M5 — Expansion Design Complete</w:t>
            </w:r>
          </w:p>
        </w:tc>
        <w:tc>
          <w:tcPr>
            <w:tcW w:type="dxa" w:w="4608"/>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65-building architecture and capacity model delivered</w:t>
            </w:r>
          </w:p>
        </w:tc>
        <w:tc>
          <w:tcPr>
            <w:tcW w:type="dxa" w:w="144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Week 8</w:t>
            </w:r>
          </w:p>
        </w:tc>
      </w:tr>
      <w:tr>
        <w:tc>
          <w:tcPr>
            <w:tcW w:type="dxa" w:w="3312"/>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M6 — Construction Handoff (~60% Engineering)</w:t>
            </w:r>
          </w:p>
        </w:tc>
        <w:tc>
          <w:tcPr>
            <w:tcW w:type="dxa" w:w="4608"/>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Construction-ready package, cost model, GMP readiness</w:t>
            </w:r>
          </w:p>
        </w:tc>
        <w:tc>
          <w:tcPr>
            <w:tcW w:type="dxa" w:w="1440"/>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Week 12</w:t>
            </w:r>
          </w:p>
        </w:tc>
      </w:tr>
    </w:tbl>
    <w:p>
      <w:pPr>
        <w:spacing w:before="280" w:after="40"/>
      </w:pPr>
      <w:r>
        <w:rPr>
          <w:rFonts w:ascii="Tomorrow" w:hAnsi="Tomorrow" w:cs="Tomorrow"/>
          <w:b/>
          <w:i w:val="0"/>
          <w:color w:val="FF9400"/>
          <w:sz w:val="16"/>
          <w:caps/>
          <w:spacing w:val="40"/>
        </w:rPr>
        <w:t>SECTION  05</w:t>
      </w:r>
    </w:p>
    <w:p>
      <w:pPr>
        <w:spacing w:before="0" w:after="40"/>
      </w:pPr>
      <w:r>
        <w:rPr>
          <w:rFonts w:ascii="Tomorrow" w:hAnsi="Tomorrow" w:cs="Tomorrow"/>
          <w:b/>
          <w:i w:val="0"/>
          <w:color w:val="000000"/>
          <w:sz w:val="30"/>
          <w:spacing w:val="20"/>
        </w:rPr>
        <w:t>ROLES &amp; RESPONSIBILITIES</w:t>
      </w:r>
    </w:p>
    <w:p>
      <w:pPr>
        <w:spacing w:before="0" w:after="120"/>
        <w:pBdr>
          <w:bottom w:val="single" w:sz="18" w:space="1" w:color="FFC200"/>
        </w:pBdr>
      </w:pPr>
    </w:p>
    <w:p>
      <w:pPr>
        <w:spacing w:before="160" w:after="40"/>
      </w:pPr>
      <w:r>
        <w:rPr>
          <w:rFonts w:ascii="Tomorrow" w:hAnsi="Tomorrow" w:cs="Tomorrow"/>
          <w:b/>
          <w:i w:val="0"/>
          <w:color w:val="FFC200"/>
          <w:sz w:val="22"/>
        </w:rPr>
        <w:t xml:space="preserve">5.1  </w:t>
      </w:r>
      <w:r>
        <w:rPr>
          <w:rFonts w:ascii="Tomorrow" w:hAnsi="Tomorrow" w:cs="Tomorrow"/>
          <w:b/>
          <w:i w:val="0"/>
          <w:color w:val="1A1A1A"/>
          <w:sz w:val="22"/>
        </w:rPr>
        <w:t>Team Structure</w:t>
      </w:r>
    </w:p>
    <w:tbl>
      <w:tblPr>
        <w:tblW w:type="auto" w:w="0"/>
        <w:jc w:val="center"/>
        <w:tblLayout w:type="fixed"/>
        <w:tblLook w:firstColumn="1" w:firstRow="1" w:lastColumn="0" w:lastRow="0" w:noHBand="0" w:noVBand="1" w:val="04A0"/>
        <w:tblLayout w:type="fixed"/>
        <w:tblInd w:w="0" w:type="dxa"/>
      </w:tblPr>
      <w:tblGrid>
        <w:gridCol w:w="3120"/>
        <w:gridCol w:w="3120"/>
        <w:gridCol w:w="3120"/>
      </w:tblGrid>
      <w:tr>
        <w:tc>
          <w:tcPr>
            <w:tcW w:type="dxa" w:w="2448"/>
            <w:vAlign w:val="center"/>
            <w:shd w:val="clear" w:color="auto" w:fill="000000"/>
            <w:tcMar>
              <w:top w:w="120" w:type="dxa"/>
              <w:right w:w="140" w:type="dxa"/>
              <w:bottom w:w="120" w:type="dxa"/>
              <w:left w:w="140" w:type="dxa"/>
            </w:tcMar>
            <w:tcBorders>
              <w:top w:val="nil" w:sz="0" w:space="0" w:color="E5E1DA"/>
              <w:bottom w:val="single" w:sz="12" w:space="0" w:color="FFC200"/>
              <w:left w:val="nil" w:sz="0" w:space="0" w:color="E5E1DA"/>
              <w:right w:val="nil" w:sz="0" w:space="0" w:color="E5E1DA"/>
            </w:tcBorders>
          </w:tcPr>
          <w:p>
            <w:pPr>
              <w:spacing w:before="0" w:after="0"/>
            </w:pPr>
            <w:r>
              <w:rPr>
                <w:rFonts w:ascii="Tomorrow" w:hAnsi="Tomorrow" w:cs="Tomorrow"/>
                <w:b/>
                <w:i w:val="0"/>
                <w:color w:val="FFC200"/>
                <w:sz w:val="16"/>
              </w:rPr>
              <w:t>ROLE</w:t>
            </w:r>
          </w:p>
        </w:tc>
        <w:tc>
          <w:tcPr>
            <w:tcW w:type="dxa" w:w="2664"/>
            <w:vAlign w:val="center"/>
            <w:shd w:val="clear" w:color="auto" w:fill="000000"/>
            <w:tcMar>
              <w:top w:w="120" w:type="dxa"/>
              <w:right w:w="140" w:type="dxa"/>
              <w:bottom w:w="120" w:type="dxa"/>
              <w:left w:w="140" w:type="dxa"/>
            </w:tcMar>
            <w:tcBorders>
              <w:top w:val="nil" w:sz="0" w:space="0" w:color="E5E1DA"/>
              <w:bottom w:val="single" w:sz="12" w:space="0" w:color="FFC200"/>
              <w:left w:val="nil" w:sz="0" w:space="0" w:color="E5E1DA"/>
              <w:right w:val="nil" w:sz="0" w:space="0" w:color="E5E1DA"/>
            </w:tcBorders>
          </w:tcPr>
          <w:p>
            <w:pPr>
              <w:spacing w:before="0" w:after="0"/>
            </w:pPr>
            <w:r>
              <w:rPr>
                <w:rFonts w:ascii="Tomorrow" w:hAnsi="Tomorrow" w:cs="Tomorrow"/>
                <w:b/>
                <w:i w:val="0"/>
                <w:color w:val="FFC200"/>
                <w:sz w:val="16"/>
              </w:rPr>
              <w:t>INDIVIDUAL / PARTY</w:t>
            </w:r>
          </w:p>
        </w:tc>
        <w:tc>
          <w:tcPr>
            <w:tcW w:type="dxa" w:w="4248"/>
            <w:vAlign w:val="center"/>
            <w:shd w:val="clear" w:color="auto" w:fill="000000"/>
            <w:tcMar>
              <w:top w:w="120" w:type="dxa"/>
              <w:right w:w="140" w:type="dxa"/>
              <w:bottom w:w="120" w:type="dxa"/>
              <w:left w:w="140" w:type="dxa"/>
            </w:tcMar>
            <w:tcBorders>
              <w:top w:val="nil" w:sz="0" w:space="0" w:color="E5E1DA"/>
              <w:bottom w:val="single" w:sz="12" w:space="0" w:color="FFC200"/>
              <w:left w:val="nil" w:sz="0" w:space="0" w:color="E5E1DA"/>
              <w:right w:val="nil" w:sz="0" w:space="0" w:color="E5E1DA"/>
            </w:tcBorders>
          </w:tcPr>
          <w:p>
            <w:pPr>
              <w:spacing w:before="0" w:after="0"/>
            </w:pPr>
            <w:r>
              <w:rPr>
                <w:rFonts w:ascii="Tomorrow" w:hAnsi="Tomorrow" w:cs="Tomorrow"/>
                <w:b/>
                <w:i w:val="0"/>
                <w:color w:val="FFC200"/>
                <w:sz w:val="16"/>
              </w:rPr>
              <w:t>RESPONSIBILITIES</w:t>
            </w:r>
          </w:p>
        </w:tc>
      </w:tr>
      <w:tr>
        <w:tc>
          <w:tcPr>
            <w:tcW w:type="dxa" w:w="2448"/>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Engagement Lead</w:t>
            </w:r>
          </w:p>
        </w:tc>
        <w:tc>
          <w:tcPr>
            <w:tcW w:type="dxa" w:w="2664"/>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MaiaEdge — Senior Network Architect</w:t>
            </w:r>
          </w:p>
        </w:tc>
        <w:tc>
          <w:tcPr>
            <w:tcW w:type="dxa" w:w="4248"/>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Overall accountability, commercial alignment, escalation point, Nexus executive relationship</w:t>
            </w:r>
          </w:p>
        </w:tc>
      </w:tr>
      <w:tr>
        <w:tc>
          <w:tcPr>
            <w:tcW w:type="dxa" w:w="2448"/>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Engineering Lead</w:t>
            </w:r>
          </w:p>
        </w:tc>
        <w:tc>
          <w:tcPr>
            <w:tcW w:type="dxa" w:w="2664"/>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MaiaEdge — Senior Network Architect</w:t>
            </w:r>
          </w:p>
        </w:tc>
        <w:tc>
          <w:tcPr>
            <w:tcW w:type="dxa" w:w="4248"/>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Technical design ownership, LLD delivery, peer review coordination</w:t>
            </w:r>
          </w:p>
        </w:tc>
      </w:tr>
      <w:tr>
        <w:tc>
          <w:tcPr>
            <w:tcW w:type="dxa" w:w="2448"/>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PBC Integration Specialist</w:t>
            </w:r>
          </w:p>
        </w:tc>
        <w:tc>
          <w:tcPr>
            <w:tcW w:type="dxa" w:w="2664"/>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MaiaEdge — Hardware Engineering</w:t>
            </w:r>
          </w:p>
        </w:tc>
        <w:tc>
          <w:tcPr>
            <w:tcW w:type="dxa" w:w="4248"/>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PBC deployment specs, hardware design, integration with switching fabric</w:t>
            </w:r>
          </w:p>
        </w:tc>
      </w:tr>
      <w:tr>
        <w:tc>
          <w:tcPr>
            <w:tcW w:type="dxa" w:w="2448"/>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Fiber Design Lead</w:t>
            </w:r>
          </w:p>
        </w:tc>
        <w:tc>
          <w:tcPr>
            <w:tcW w:type="dxa" w:w="2664"/>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MaiaEdge / Third-Party PE</w:t>
            </w:r>
          </w:p>
        </w:tc>
        <w:tc>
          <w:tcPr>
            <w:tcW w:type="dxa" w:w="4248"/>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Dark fiber design, path diversity, interbuilding mesh, ODF cross-connect model</w:t>
            </w:r>
          </w:p>
        </w:tc>
      </w:tr>
      <w:tr>
        <w:tc>
          <w:tcPr>
            <w:tcW w:type="dxa" w:w="2448"/>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Project Coordinator</w:t>
            </w:r>
          </w:p>
        </w:tc>
        <w:tc>
          <w:tcPr>
            <w:tcW w:type="dxa" w:w="2664"/>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MaiaEdge</w:t>
            </w:r>
          </w:p>
        </w:tc>
        <w:tc>
          <w:tcPr>
            <w:tcW w:type="dxa" w:w="4248"/>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Schedule tracking, milestone management, interface meeting coordination, document control</w:t>
            </w:r>
          </w:p>
        </w:tc>
      </w:tr>
      <w:tr>
        <w:tc>
          <w:tcPr>
            <w:tcW w:type="dxa" w:w="2448"/>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Nexus Technical POC</w:t>
            </w:r>
          </w:p>
        </w:tc>
        <w:tc>
          <w:tcPr>
            <w:tcW w:type="dxa" w:w="2664"/>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Nexus Data Centers</w:t>
            </w:r>
          </w:p>
        </w:tc>
        <w:tc>
          <w:tcPr>
            <w:tcW w:type="dxa" w:w="4248"/>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Provide site requirements, review deliverables, approve design assumptions, interface with fiber provider</w:t>
            </w:r>
          </w:p>
        </w:tc>
      </w:tr>
      <w:tr>
        <w:tc>
          <w:tcPr>
            <w:tcW w:type="dxa" w:w="2448"/>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Dark Fiber Provider</w:t>
            </w:r>
          </w:p>
        </w:tc>
        <w:tc>
          <w:tcPr>
            <w:tcW w:type="dxa" w:w="2664"/>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TBD</w:t>
            </w:r>
          </w:p>
        </w:tc>
        <w:tc>
          <w:tcPr>
            <w:tcW w:type="dxa" w:w="4248"/>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Off-site fiber routing, on-site delivery, handoff point coordination</w:t>
            </w:r>
          </w:p>
        </w:tc>
      </w:tr>
      <w:tr>
        <w:tc>
          <w:tcPr>
            <w:tcW w:type="dxa" w:w="2448"/>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Installation Partner</w:t>
            </w:r>
          </w:p>
        </w:tc>
        <w:tc>
          <w:tcPr>
            <w:tcW w:type="dxa" w:w="2664"/>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TBD</w:t>
            </w:r>
          </w:p>
        </w:tc>
        <w:tc>
          <w:tcPr>
            <w:tcW w:type="dxa" w:w="4248"/>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Constructability input, duration estimates, site survey coordination</w:t>
            </w:r>
          </w:p>
        </w:tc>
      </w:tr>
    </w:tbl>
    <w:p>
      <w:pPr>
        <w:spacing w:before="280" w:after="40"/>
      </w:pPr>
      <w:r>
        <w:rPr>
          <w:rFonts w:ascii="Tomorrow" w:hAnsi="Tomorrow" w:cs="Tomorrow"/>
          <w:b/>
          <w:i w:val="0"/>
          <w:color w:val="FF9400"/>
          <w:sz w:val="16"/>
          <w:caps/>
          <w:spacing w:val="40"/>
        </w:rPr>
        <w:t>SECTION  06</w:t>
      </w:r>
    </w:p>
    <w:p>
      <w:pPr>
        <w:spacing w:before="0" w:after="40"/>
      </w:pPr>
      <w:r>
        <w:rPr>
          <w:rFonts w:ascii="Tomorrow" w:hAnsi="Tomorrow" w:cs="Tomorrow"/>
          <w:b/>
          <w:i w:val="0"/>
          <w:color w:val="000000"/>
          <w:sz w:val="30"/>
          <w:spacing w:val="20"/>
        </w:rPr>
        <w:t>INTERFACES &amp; DEPENDENCIES</w:t>
      </w:r>
    </w:p>
    <w:p>
      <w:pPr>
        <w:spacing w:before="0" w:after="120"/>
        <w:pBdr>
          <w:bottom w:val="single" w:sz="18" w:space="1" w:color="FFC200"/>
        </w:pBdr>
      </w:pPr>
    </w:p>
    <w:tbl>
      <w:tblPr>
        <w:tblW w:type="auto" w:w="0"/>
        <w:jc w:val="center"/>
        <w:tblLayout w:type="fixed"/>
        <w:tblLook w:firstColumn="1" w:firstRow="1" w:lastColumn="0" w:lastRow="0" w:noHBand="0" w:noVBand="1" w:val="04A0"/>
        <w:tblLayout w:type="fixed"/>
        <w:tblInd w:w="0" w:type="dxa"/>
      </w:tblPr>
      <w:tblGrid>
        <w:gridCol w:w="2340"/>
        <w:gridCol w:w="2340"/>
        <w:gridCol w:w="2340"/>
        <w:gridCol w:w="2340"/>
      </w:tblGrid>
      <w:tr>
        <w:tc>
          <w:tcPr>
            <w:tcW w:type="dxa" w:w="2160"/>
            <w:vAlign w:val="center"/>
            <w:shd w:val="clear" w:color="auto" w:fill="000000"/>
            <w:tcMar>
              <w:top w:w="120" w:type="dxa"/>
              <w:right w:w="140" w:type="dxa"/>
              <w:bottom w:w="120" w:type="dxa"/>
              <w:left w:w="140" w:type="dxa"/>
            </w:tcMar>
            <w:tcBorders>
              <w:top w:val="nil" w:sz="0" w:space="0" w:color="E5E1DA"/>
              <w:bottom w:val="single" w:sz="12" w:space="0" w:color="FFC200"/>
              <w:left w:val="nil" w:sz="0" w:space="0" w:color="E5E1DA"/>
              <w:right w:val="nil" w:sz="0" w:space="0" w:color="E5E1DA"/>
            </w:tcBorders>
          </w:tcPr>
          <w:p>
            <w:pPr>
              <w:spacing w:before="0" w:after="0"/>
            </w:pPr>
            <w:r>
              <w:rPr>
                <w:rFonts w:ascii="Tomorrow" w:hAnsi="Tomorrow" w:cs="Tomorrow"/>
                <w:b/>
                <w:i w:val="0"/>
                <w:color w:val="FFC200"/>
                <w:sz w:val="16"/>
              </w:rPr>
              <w:t>INTERFACE PARTY</w:t>
            </w:r>
          </w:p>
        </w:tc>
        <w:tc>
          <w:tcPr>
            <w:tcW w:type="dxa" w:w="4320"/>
            <w:vAlign w:val="center"/>
            <w:shd w:val="clear" w:color="auto" w:fill="000000"/>
            <w:tcMar>
              <w:top w:w="120" w:type="dxa"/>
              <w:right w:w="140" w:type="dxa"/>
              <w:bottom w:w="120" w:type="dxa"/>
              <w:left w:w="140" w:type="dxa"/>
            </w:tcMar>
            <w:tcBorders>
              <w:top w:val="nil" w:sz="0" w:space="0" w:color="E5E1DA"/>
              <w:bottom w:val="single" w:sz="12" w:space="0" w:color="FFC200"/>
              <w:left w:val="nil" w:sz="0" w:space="0" w:color="E5E1DA"/>
              <w:right w:val="nil" w:sz="0" w:space="0" w:color="E5E1DA"/>
            </w:tcBorders>
          </w:tcPr>
          <w:p>
            <w:pPr>
              <w:spacing w:before="0" w:after="0"/>
            </w:pPr>
            <w:r>
              <w:rPr>
                <w:rFonts w:ascii="Tomorrow" w:hAnsi="Tomorrow" w:cs="Tomorrow"/>
                <w:b/>
                <w:i w:val="0"/>
                <w:color w:val="FFC200"/>
                <w:sz w:val="16"/>
              </w:rPr>
              <w:t>DEPENDENCY</w:t>
            </w:r>
          </w:p>
        </w:tc>
        <w:tc>
          <w:tcPr>
            <w:tcW w:type="dxa" w:w="1440"/>
            <w:vAlign w:val="center"/>
            <w:shd w:val="clear" w:color="auto" w:fill="000000"/>
            <w:tcMar>
              <w:top w:w="120" w:type="dxa"/>
              <w:right w:w="140" w:type="dxa"/>
              <w:bottom w:w="120" w:type="dxa"/>
              <w:left w:w="140" w:type="dxa"/>
            </w:tcMar>
            <w:tcBorders>
              <w:top w:val="nil" w:sz="0" w:space="0" w:color="E5E1DA"/>
              <w:bottom w:val="single" w:sz="12" w:space="0" w:color="FFC200"/>
              <w:left w:val="nil" w:sz="0" w:space="0" w:color="E5E1DA"/>
              <w:right w:val="nil" w:sz="0" w:space="0" w:color="E5E1DA"/>
            </w:tcBorders>
          </w:tcPr>
          <w:p>
            <w:pPr>
              <w:spacing w:before="0" w:after="0"/>
            </w:pPr>
            <w:r>
              <w:rPr>
                <w:rFonts w:ascii="Tomorrow" w:hAnsi="Tomorrow" w:cs="Tomorrow"/>
                <w:b/>
                <w:i w:val="0"/>
                <w:color w:val="FFC200"/>
                <w:sz w:val="16"/>
              </w:rPr>
              <w:t>CRITICALITY</w:t>
            </w:r>
          </w:p>
        </w:tc>
        <w:tc>
          <w:tcPr>
            <w:tcW w:type="dxa" w:w="1440"/>
            <w:vAlign w:val="center"/>
            <w:shd w:val="clear" w:color="auto" w:fill="000000"/>
            <w:tcMar>
              <w:top w:w="120" w:type="dxa"/>
              <w:right w:w="140" w:type="dxa"/>
              <w:bottom w:w="120" w:type="dxa"/>
              <w:left w:w="140" w:type="dxa"/>
            </w:tcMar>
            <w:tcBorders>
              <w:top w:val="nil" w:sz="0" w:space="0" w:color="E5E1DA"/>
              <w:bottom w:val="single" w:sz="12" w:space="0" w:color="FFC200"/>
              <w:left w:val="nil" w:sz="0" w:space="0" w:color="E5E1DA"/>
              <w:right w:val="nil" w:sz="0" w:space="0" w:color="E5E1DA"/>
            </w:tcBorders>
          </w:tcPr>
          <w:p>
            <w:pPr>
              <w:spacing w:before="0" w:after="0"/>
            </w:pPr>
            <w:r>
              <w:rPr>
                <w:rFonts w:ascii="Tomorrow" w:hAnsi="Tomorrow" w:cs="Tomorrow"/>
                <w:b/>
                <w:i w:val="0"/>
                <w:color w:val="FFC200"/>
                <w:sz w:val="16"/>
              </w:rPr>
              <w:t>REQUIRED BY</w:t>
            </w:r>
          </w:p>
        </w:tc>
      </w:tr>
      <w:tr>
        <w:tc>
          <w:tcPr>
            <w:tcW w:type="dxa" w:w="216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Dark Fiber Provider</w:t>
            </w:r>
          </w:p>
        </w:tc>
        <w:tc>
          <w:tcPr>
            <w:tcW w:type="dxa" w:w="432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Off-site routing plan, on-site fiber delivery schedule, handoff point confirmation</w:t>
            </w:r>
          </w:p>
        </w:tc>
        <w:tc>
          <w:tcPr>
            <w:tcW w:type="dxa" w:w="144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Critical</w:t>
            </w:r>
          </w:p>
        </w:tc>
        <w:tc>
          <w:tcPr>
            <w:tcW w:type="dxa" w:w="144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T+1 week</w:t>
            </w:r>
          </w:p>
        </w:tc>
      </w:tr>
      <w:tr>
        <w:tc>
          <w:tcPr>
            <w:tcW w:type="dxa" w:w="2160"/>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Nexus Data Centers</w:t>
            </w:r>
          </w:p>
        </w:tc>
        <w:tc>
          <w:tcPr>
            <w:tcW w:type="dxa" w:w="4320"/>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Initial building list (4 sites), MMR requirements, client-specific requirements</w:t>
            </w:r>
          </w:p>
        </w:tc>
        <w:tc>
          <w:tcPr>
            <w:tcW w:type="dxa" w:w="1440"/>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Critical</w:t>
            </w:r>
          </w:p>
        </w:tc>
        <w:tc>
          <w:tcPr>
            <w:tcW w:type="dxa" w:w="1440"/>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T+0</w:t>
            </w:r>
          </w:p>
        </w:tc>
      </w:tr>
      <w:tr>
        <w:tc>
          <w:tcPr>
            <w:tcW w:type="dxa" w:w="216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Carrier / Third Party</w:t>
            </w:r>
          </w:p>
        </w:tc>
        <w:tc>
          <w:tcPr>
            <w:tcW w:type="dxa" w:w="432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Carrier coordination status; assumptions for design basis</w:t>
            </w:r>
          </w:p>
        </w:tc>
        <w:tc>
          <w:tcPr>
            <w:tcW w:type="dxa" w:w="144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High</w:t>
            </w:r>
          </w:p>
        </w:tc>
        <w:tc>
          <w:tcPr>
            <w:tcW w:type="dxa" w:w="144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T+2 weeks</w:t>
            </w:r>
          </w:p>
        </w:tc>
      </w:tr>
      <w:tr>
        <w:tc>
          <w:tcPr>
            <w:tcW w:type="dxa" w:w="2160"/>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Installation Partner</w:t>
            </w:r>
          </w:p>
        </w:tc>
        <w:tc>
          <w:tcPr>
            <w:tcW w:type="dxa" w:w="4320"/>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Constructability input, site access assumptions, duration estimates</w:t>
            </w:r>
          </w:p>
        </w:tc>
        <w:tc>
          <w:tcPr>
            <w:tcW w:type="dxa" w:w="1440"/>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Medium</w:t>
            </w:r>
          </w:p>
        </w:tc>
        <w:tc>
          <w:tcPr>
            <w:tcW w:type="dxa" w:w="1440"/>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T+4 weeks</w:t>
            </w:r>
          </w:p>
        </w:tc>
      </w:tr>
    </w:tbl>
    <w:p>
      <w:pPr>
        <w:spacing w:before="280" w:after="40"/>
      </w:pPr>
      <w:r>
        <w:rPr>
          <w:rFonts w:ascii="Tomorrow" w:hAnsi="Tomorrow" w:cs="Tomorrow"/>
          <w:b/>
          <w:i w:val="0"/>
          <w:color w:val="FF9400"/>
          <w:sz w:val="16"/>
          <w:caps/>
          <w:spacing w:val="40"/>
        </w:rPr>
        <w:t>SECTION  07</w:t>
      </w:r>
    </w:p>
    <w:p>
      <w:pPr>
        <w:spacing w:before="0" w:after="40"/>
      </w:pPr>
      <w:r>
        <w:rPr>
          <w:rFonts w:ascii="Tomorrow" w:hAnsi="Tomorrow" w:cs="Tomorrow"/>
          <w:b/>
          <w:i w:val="0"/>
          <w:color w:val="000000"/>
          <w:sz w:val="30"/>
          <w:spacing w:val="20"/>
        </w:rPr>
        <w:t>DESIGN BASIS &amp; ASSUMPTIONS</w:t>
      </w:r>
    </w:p>
    <w:p>
      <w:pPr>
        <w:spacing w:before="0" w:after="120"/>
        <w:pBdr>
          <w:bottom w:val="single" w:sz="18" w:space="1" w:color="FFC200"/>
        </w:pBdr>
      </w:pP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Standardized, non-bespoke architecture applied uniformly across all 4 Phase 1 buildings</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Dual-path (A/B) dark fiber design for high availability at all building entry points</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Symmetric PBC 2000 architecture deployed consistently across MMR cages and all buildings</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Partial or full mesh interbuilding connectivity — final topology selected based on cost / scale analysis</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Carrier coordination is managed by an existing third party; inputs will be provided as-available</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Client-specific requirements (if any) are assumed at high level and may evolve during engagement</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All design outputs are vendor-neutral unless otherwise specified by Nexus</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Phase 1 buildings and MMR location are assumed to be within the Hubbard, TX Nexus campus</w:t>
      </w:r>
    </w:p>
    <w:p>
      <w:pPr>
        <w:spacing w:before="280" w:after="40"/>
      </w:pPr>
      <w:r>
        <w:rPr>
          <w:rFonts w:ascii="Tomorrow" w:hAnsi="Tomorrow" w:cs="Tomorrow"/>
          <w:b/>
          <w:i w:val="0"/>
          <w:color w:val="FF9400"/>
          <w:sz w:val="16"/>
          <w:caps/>
          <w:spacing w:val="40"/>
        </w:rPr>
        <w:t>SECTION  08</w:t>
      </w:r>
    </w:p>
    <w:p>
      <w:pPr>
        <w:spacing w:before="0" w:after="40"/>
      </w:pPr>
      <w:r>
        <w:rPr>
          <w:rFonts w:ascii="Tomorrow" w:hAnsi="Tomorrow" w:cs="Tomorrow"/>
          <w:b/>
          <w:i w:val="0"/>
          <w:color w:val="000000"/>
          <w:sz w:val="30"/>
          <w:spacing w:val="20"/>
        </w:rPr>
        <w:t>TECHNICAL INPUTS REQUIRED AT T+0</w:t>
      </w:r>
    </w:p>
    <w:p>
      <w:pPr>
        <w:spacing w:before="0" w:after="120"/>
        <w:pBdr>
          <w:bottom w:val="single" w:sz="18" w:space="1" w:color="FFC200"/>
        </w:pBdr>
      </w:pPr>
    </w:p>
    <w:p>
      <w:pPr>
        <w:spacing w:before="0" w:after="8"/>
      </w:pPr>
      <w:r>
        <w:rPr>
          <w:rFonts w:ascii="Tomorrow" w:hAnsi="Tomorrow" w:cs="Tomorrow"/>
          <w:b w:val="0"/>
          <w:i w:val="0"/>
          <w:color w:val="1A1A1A"/>
          <w:sz w:val="20"/>
        </w:rPr>
        <w:t>The following inputs are required from Nexus Data Centers and associated parties at or before engagement commencement to avoid schedule impact:</w:t>
      </w:r>
    </w:p>
    <w:tbl>
      <w:tblPr>
        <w:tblW w:type="auto" w:w="0"/>
        <w:jc w:val="center"/>
        <w:tblLayout w:type="fixed"/>
        <w:tblLook w:firstColumn="1" w:firstRow="1" w:lastColumn="0" w:lastRow="0" w:noHBand="0" w:noVBand="1" w:val="04A0"/>
        <w:tblLayout w:type="fixed"/>
        <w:tblInd w:w="0" w:type="dxa"/>
      </w:tblPr>
      <w:tblGrid>
        <w:gridCol w:w="3120"/>
        <w:gridCol w:w="3120"/>
        <w:gridCol w:w="3120"/>
      </w:tblGrid>
      <w:tr>
        <w:tc>
          <w:tcPr>
            <w:tcW w:type="dxa" w:w="5040"/>
            <w:vAlign w:val="center"/>
            <w:shd w:val="clear" w:color="auto" w:fill="000000"/>
            <w:tcMar>
              <w:top w:w="120" w:type="dxa"/>
              <w:right w:w="140" w:type="dxa"/>
              <w:bottom w:w="120" w:type="dxa"/>
              <w:left w:w="140" w:type="dxa"/>
            </w:tcMar>
            <w:tcBorders>
              <w:top w:val="nil" w:sz="0" w:space="0" w:color="E5E1DA"/>
              <w:bottom w:val="single" w:sz="12" w:space="0" w:color="FFC200"/>
              <w:left w:val="nil" w:sz="0" w:space="0" w:color="E5E1DA"/>
              <w:right w:val="nil" w:sz="0" w:space="0" w:color="E5E1DA"/>
            </w:tcBorders>
          </w:tcPr>
          <w:p>
            <w:pPr>
              <w:spacing w:before="0" w:after="0"/>
            </w:pPr>
            <w:r>
              <w:rPr>
                <w:rFonts w:ascii="Tomorrow" w:hAnsi="Tomorrow" w:cs="Tomorrow"/>
                <w:b/>
                <w:i w:val="0"/>
                <w:color w:val="FFC200"/>
                <w:sz w:val="16"/>
              </w:rPr>
              <w:t>INPUT</w:t>
            </w:r>
          </w:p>
        </w:tc>
        <w:tc>
          <w:tcPr>
            <w:tcW w:type="dxa" w:w="2448"/>
            <w:vAlign w:val="center"/>
            <w:shd w:val="clear" w:color="auto" w:fill="000000"/>
            <w:tcMar>
              <w:top w:w="120" w:type="dxa"/>
              <w:right w:w="140" w:type="dxa"/>
              <w:bottom w:w="120" w:type="dxa"/>
              <w:left w:w="140" w:type="dxa"/>
            </w:tcMar>
            <w:tcBorders>
              <w:top w:val="nil" w:sz="0" w:space="0" w:color="E5E1DA"/>
              <w:bottom w:val="single" w:sz="12" w:space="0" w:color="FFC200"/>
              <w:left w:val="nil" w:sz="0" w:space="0" w:color="E5E1DA"/>
              <w:right w:val="nil" w:sz="0" w:space="0" w:color="E5E1DA"/>
            </w:tcBorders>
          </w:tcPr>
          <w:p>
            <w:pPr>
              <w:spacing w:before="0" w:after="0"/>
            </w:pPr>
            <w:r>
              <w:rPr>
                <w:rFonts w:ascii="Tomorrow" w:hAnsi="Tomorrow" w:cs="Tomorrow"/>
                <w:b/>
                <w:i w:val="0"/>
                <w:color w:val="FFC200"/>
                <w:sz w:val="16"/>
              </w:rPr>
              <w:t>OWNER</w:t>
            </w:r>
          </w:p>
        </w:tc>
        <w:tc>
          <w:tcPr>
            <w:tcW w:type="dxa" w:w="1872"/>
            <w:vAlign w:val="center"/>
            <w:shd w:val="clear" w:color="auto" w:fill="000000"/>
            <w:tcMar>
              <w:top w:w="120" w:type="dxa"/>
              <w:right w:w="140" w:type="dxa"/>
              <w:bottom w:w="120" w:type="dxa"/>
              <w:left w:w="140" w:type="dxa"/>
            </w:tcMar>
            <w:tcBorders>
              <w:top w:val="nil" w:sz="0" w:space="0" w:color="E5E1DA"/>
              <w:bottom w:val="single" w:sz="12" w:space="0" w:color="FFC200"/>
              <w:left w:val="nil" w:sz="0" w:space="0" w:color="E5E1DA"/>
              <w:right w:val="nil" w:sz="0" w:space="0" w:color="E5E1DA"/>
            </w:tcBorders>
          </w:tcPr>
          <w:p>
            <w:pPr>
              <w:spacing w:before="0" w:after="0"/>
            </w:pPr>
            <w:r>
              <w:rPr>
                <w:rFonts w:ascii="Tomorrow" w:hAnsi="Tomorrow" w:cs="Tomorrow"/>
                <w:b/>
                <w:i w:val="0"/>
                <w:color w:val="FFC200"/>
                <w:sz w:val="16"/>
              </w:rPr>
              <w:t>REQUIRED BY</w:t>
            </w:r>
          </w:p>
        </w:tc>
      </w:tr>
      <w:tr>
        <w:tc>
          <w:tcPr>
            <w:tcW w:type="dxa" w:w="504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Confirmed list of 4 Phase 1 buildings (addresses / building IDs)</w:t>
            </w:r>
          </w:p>
        </w:tc>
        <w:tc>
          <w:tcPr>
            <w:tcW w:type="dxa" w:w="2448"/>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Nexus</w:t>
            </w:r>
          </w:p>
        </w:tc>
        <w:tc>
          <w:tcPr>
            <w:tcW w:type="dxa" w:w="1872"/>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T+0</w:t>
            </w:r>
          </w:p>
        </w:tc>
      </w:tr>
      <w:tr>
        <w:tc>
          <w:tcPr>
            <w:tcW w:type="dxa" w:w="5040"/>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MMR location, dimensions, and power / cooling constraints</w:t>
            </w:r>
          </w:p>
        </w:tc>
        <w:tc>
          <w:tcPr>
            <w:tcW w:type="dxa" w:w="2448"/>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Nexus</w:t>
            </w:r>
          </w:p>
        </w:tc>
        <w:tc>
          <w:tcPr>
            <w:tcW w:type="dxa" w:w="1872"/>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T+0</w:t>
            </w:r>
          </w:p>
        </w:tc>
      </w:tr>
      <w:tr>
        <w:tc>
          <w:tcPr>
            <w:tcW w:type="dxa" w:w="504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Dark fiber routes and proposed handoff points</w:t>
            </w:r>
          </w:p>
        </w:tc>
        <w:tc>
          <w:tcPr>
            <w:tcW w:type="dxa" w:w="2448"/>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Fiber Provider</w:t>
            </w:r>
          </w:p>
        </w:tc>
        <w:tc>
          <w:tcPr>
            <w:tcW w:type="dxa" w:w="1872"/>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T+1 week</w:t>
            </w:r>
          </w:p>
        </w:tc>
      </w:tr>
      <w:tr>
        <w:tc>
          <w:tcPr>
            <w:tcW w:type="dxa" w:w="5040"/>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Carrier coordination status and point of contact</w:t>
            </w:r>
          </w:p>
        </w:tc>
        <w:tc>
          <w:tcPr>
            <w:tcW w:type="dxa" w:w="2448"/>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Nexus / Third Party</w:t>
            </w:r>
          </w:p>
        </w:tc>
        <w:tc>
          <w:tcPr>
            <w:tcW w:type="dxa" w:w="1872"/>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T+1 week</w:t>
            </w:r>
          </w:p>
        </w:tc>
      </w:tr>
      <w:tr>
        <w:tc>
          <w:tcPr>
            <w:tcW w:type="dxa" w:w="504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Any Nexus client-specific connectivity requirements</w:t>
            </w:r>
          </w:p>
        </w:tc>
        <w:tc>
          <w:tcPr>
            <w:tcW w:type="dxa" w:w="2448"/>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Nexus</w:t>
            </w:r>
          </w:p>
        </w:tc>
        <w:tc>
          <w:tcPr>
            <w:tcW w:type="dxa" w:w="1872"/>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T+2 weeks</w:t>
            </w:r>
          </w:p>
        </w:tc>
      </w:tr>
      <w:tr>
        <w:tc>
          <w:tcPr>
            <w:tcW w:type="dxa" w:w="5040"/>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Installation contractor point of contact</w:t>
            </w:r>
          </w:p>
        </w:tc>
        <w:tc>
          <w:tcPr>
            <w:tcW w:type="dxa" w:w="2448"/>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Nexus</w:t>
            </w:r>
          </w:p>
        </w:tc>
        <w:tc>
          <w:tcPr>
            <w:tcW w:type="dxa" w:w="1872"/>
            <w:vAlign w:val="center"/>
            <w:shd w:val="clear" w:color="auto" w:fill="F4F2EE"/>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T+3 weeks</w:t>
            </w:r>
          </w:p>
        </w:tc>
      </w:tr>
      <w:tr>
        <w:tc>
          <w:tcPr>
            <w:tcW w:type="dxa" w:w="5040"/>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Existing infrastructure drawings (if any)</w:t>
            </w:r>
          </w:p>
        </w:tc>
        <w:tc>
          <w:tcPr>
            <w:tcW w:type="dxa" w:w="2448"/>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Nexus</w:t>
            </w:r>
          </w:p>
        </w:tc>
        <w:tc>
          <w:tcPr>
            <w:tcW w:type="dxa" w:w="1872"/>
            <w:vAlign w:val="center"/>
            <w:tcMar>
              <w:top w:w="100" w:type="dxa"/>
              <w:right w:w="140" w:type="dxa"/>
              <w:bottom w:w="100" w:type="dxa"/>
              <w:left w:w="140" w:type="dxa"/>
            </w:tcMar>
            <w:tcBorders>
              <w:top w:val="nil" w:sz="0" w:space="0" w:color="E5E1DA"/>
              <w:bottom w:val="single" w:sz="4" w:space="0" w:color="E5E1DA"/>
              <w:left w:val="nil" w:sz="0" w:space="0" w:color="E5E1DA"/>
              <w:right w:val="nil" w:sz="0" w:space="0" w:color="E5E1DA"/>
            </w:tcBorders>
          </w:tcPr>
          <w:p>
            <w:pPr>
              <w:spacing w:before="0" w:after="0"/>
            </w:pPr>
            <w:r>
              <w:rPr>
                <w:rFonts w:ascii="Tomorrow" w:hAnsi="Tomorrow" w:cs="Tomorrow"/>
                <w:b w:val="0"/>
                <w:i w:val="0"/>
                <w:color w:val="1A1A1A"/>
                <w:sz w:val="19"/>
              </w:rPr>
              <w:t>T+0</w:t>
            </w:r>
          </w:p>
        </w:tc>
      </w:tr>
    </w:tbl>
    <w:p>
      <w:pPr>
        <w:spacing w:before="280" w:after="40"/>
      </w:pPr>
      <w:r>
        <w:rPr>
          <w:rFonts w:ascii="Tomorrow" w:hAnsi="Tomorrow" w:cs="Tomorrow"/>
          <w:b/>
          <w:i w:val="0"/>
          <w:color w:val="FF9400"/>
          <w:sz w:val="16"/>
          <w:caps/>
          <w:spacing w:val="40"/>
        </w:rPr>
        <w:t>SECTION  09</w:t>
      </w:r>
    </w:p>
    <w:p>
      <w:pPr>
        <w:spacing w:before="0" w:after="40"/>
      </w:pPr>
      <w:r>
        <w:rPr>
          <w:rFonts w:ascii="Tomorrow" w:hAnsi="Tomorrow" w:cs="Tomorrow"/>
          <w:b/>
          <w:i w:val="0"/>
          <w:color w:val="000000"/>
          <w:sz w:val="30"/>
          <w:spacing w:val="20"/>
        </w:rPr>
        <w:t>EXCLUSIONS</w:t>
      </w:r>
    </w:p>
    <w:p>
      <w:pPr>
        <w:spacing w:before="0" w:after="120"/>
        <w:pBdr>
          <w:bottom w:val="single" w:sz="18" w:space="1" w:color="FFC200"/>
        </w:pBdr>
      </w:pPr>
    </w:p>
    <w:p>
      <w:pPr>
        <w:spacing w:before="0" w:after="4"/>
      </w:pPr>
      <w:r>
        <w:rPr>
          <w:rFonts w:ascii="Tomorrow" w:hAnsi="Tomorrow" w:cs="Tomorrow"/>
          <w:b w:val="0"/>
          <w:i w:val="0"/>
          <w:color w:val="1A1A1A"/>
          <w:sz w:val="20"/>
        </w:rPr>
        <w:t>The following are explicitly out of scope for this Statement of Work:</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Procurement execution — placement of purchase orders or vendor contracts</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Physical installation, construction, or site commissioning activities</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Carrier-specific custom design work (unless separately scoped and agreed)</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Operational or managed service design</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Network management, monitoring platform, or NOC integration design</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Any design activity dependent on inputs not received by the required dates above</w:t>
      </w:r>
    </w:p>
    <w:p>
      <w:pPr>
        <w:spacing w:before="280" w:after="40"/>
      </w:pPr>
      <w:r>
        <w:rPr>
          <w:rFonts w:ascii="Tomorrow" w:hAnsi="Tomorrow" w:cs="Tomorrow"/>
          <w:b/>
          <w:i w:val="0"/>
          <w:color w:val="FF9400"/>
          <w:sz w:val="16"/>
          <w:caps/>
          <w:spacing w:val="40"/>
        </w:rPr>
        <w:t>SECTION  10</w:t>
      </w:r>
    </w:p>
    <w:p>
      <w:pPr>
        <w:spacing w:before="0" w:after="40"/>
      </w:pPr>
      <w:r>
        <w:rPr>
          <w:rFonts w:ascii="Tomorrow" w:hAnsi="Tomorrow" w:cs="Tomorrow"/>
          <w:b/>
          <w:i w:val="0"/>
          <w:color w:val="000000"/>
          <w:sz w:val="30"/>
          <w:spacing w:val="20"/>
        </w:rPr>
        <w:t>COMMERCIAL BASIS</w:t>
      </w:r>
    </w:p>
    <w:p>
      <w:pPr>
        <w:spacing w:before="0" w:after="120"/>
        <w:pBdr>
          <w:bottom w:val="single" w:sz="18" w:space="1" w:color="FFC200"/>
        </w:pBdr>
      </w:pPr>
    </w:p>
    <w:p>
      <w:pPr>
        <w:spacing w:before="0" w:after="4"/>
      </w:pPr>
      <w:r>
        <w:rPr>
          <w:rFonts w:ascii="Tomorrow" w:hAnsi="Tomorrow" w:cs="Tomorrow"/>
          <w:b w:val="0"/>
          <w:i w:val="0"/>
          <w:color w:val="1A1A1A"/>
          <w:sz w:val="20"/>
        </w:rPr>
        <w:t>This engineering phase is structured to enable a predictable commercial framework for subsequent phases:</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Deliverables will provide sufficient design maturity to support Guaranteed Maximum Price (GMP) discussions</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Engagement may be structured on a Not-to-Exceed (NTE) commercial basis</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Phase 1 engineering completion (~60%) is designed to de-risk procurement and installation pricing</w:t>
      </w:r>
    </w:p>
    <w:p>
      <w:pPr>
        <w:spacing w:before="20" w:after="40"/>
        <w:ind w:left="720" w:hanging="360"/>
      </w:pPr>
      <w:r>
        <w:rPr>
          <w:rFonts w:ascii="Tomorrow" w:hAnsi="Tomorrow" w:cs="Tomorrow"/>
          <w:b/>
          <w:i w:val="0"/>
          <w:color w:val="FFC200"/>
          <w:sz w:val="20"/>
        </w:rPr>
        <w:t xml:space="preserve">•  </w:t>
      </w:r>
      <w:r>
        <w:rPr>
          <w:rFonts w:ascii="Tomorrow" w:hAnsi="Tomorrow" w:cs="Tomorrow"/>
          <w:b w:val="0"/>
          <w:i w:val="0"/>
          <w:color w:val="1A1A1A"/>
          <w:sz w:val="20"/>
        </w:rPr>
        <w:t>Expansion architecture work (Section 2.4) enables long-range portfolio planning and phased investment commitments</w:t>
      </w:r>
    </w:p>
    <w:p>
      <w:pPr>
        <w:spacing w:before="10" w:after="80"/>
      </w:pPr>
      <w:r>
        <w:rPr>
          <w:rFonts w:ascii="Tomorrow" w:hAnsi="Tomorrow" w:cs="Tomorrow"/>
          <w:b w:val="0"/>
          <w:i w:val="0"/>
          <w:color w:val="1A1A1A"/>
          <w:sz w:val="20"/>
        </w:rPr>
        <w:t>A detailed commercial proposal inclusive of fees, payment milestones, and T&amp;M provisions will be provided under separate cover.</w:t>
      </w:r>
    </w:p>
    <w:p>
      <w:pPr>
        <w:spacing w:before="280" w:after="40"/>
      </w:pPr>
      <w:r>
        <w:rPr>
          <w:rFonts w:ascii="Tomorrow" w:hAnsi="Tomorrow" w:cs="Tomorrow"/>
          <w:b/>
          <w:i w:val="0"/>
          <w:color w:val="FF9400"/>
          <w:sz w:val="16"/>
          <w:caps/>
          <w:spacing w:val="40"/>
        </w:rPr>
        <w:t>SECTION  11</w:t>
      </w:r>
    </w:p>
    <w:p>
      <w:pPr>
        <w:spacing w:before="0" w:after="40"/>
      </w:pPr>
      <w:r>
        <w:rPr>
          <w:rFonts w:ascii="Tomorrow" w:hAnsi="Tomorrow" w:cs="Tomorrow"/>
          <w:b/>
          <w:i w:val="0"/>
          <w:color w:val="000000"/>
          <w:sz w:val="30"/>
          <w:spacing w:val="20"/>
        </w:rPr>
        <w:t>ACCEPTANCE &amp; AUTHORIZATION</w:t>
      </w:r>
    </w:p>
    <w:p>
      <w:pPr>
        <w:spacing w:before="0" w:after="120"/>
        <w:pBdr>
          <w:bottom w:val="single" w:sz="18" w:space="1" w:color="FFC200"/>
        </w:pBdr>
      </w:pPr>
    </w:p>
    <w:p>
      <w:pPr>
        <w:spacing w:before="0" w:after="14"/>
      </w:pPr>
      <w:r>
        <w:rPr>
          <w:rFonts w:ascii="Tomorrow" w:hAnsi="Tomorrow" w:cs="Tomorrow"/>
          <w:b w:val="0"/>
          <w:i w:val="0"/>
          <w:color w:val="1A1A1A"/>
          <w:sz w:val="20"/>
        </w:rPr>
        <w:t>This Statement of Work becomes effective upon execution by authorized representatives of both parties. By signing below, each party confirms they have read, understood, and agreed to the terms set forth herein.</w:t>
      </w:r>
    </w:p>
    <w:tbl>
      <w:tblPr>
        <w:tblW w:type="auto" w:w="0"/>
        <w:tblLayout w:type="fixed"/>
        <w:tblLook w:firstColumn="1" w:firstRow="1" w:lastColumn="0" w:lastRow="0" w:noHBand="0" w:noVBand="1" w:val="04A0"/>
        <w:tblLayout w:type="fixed"/>
        <w:tblInd w:w="0" w:type="dxa"/>
      </w:tblPr>
      <w:tblGrid>
        <w:gridCol w:w="1584"/>
        <w:gridCol w:w="2808"/>
        <w:gridCol w:w="576"/>
        <w:gridCol w:w="1584"/>
        <w:gridCol w:w="2808"/>
      </w:tblGrid>
      <w:tr>
        <w:tc>
          <w:tcPr>
            <w:tcW w:type="dxa" w:w="4392"/>
            <w:gridSpan w:val="2"/>
            <w:shd w:val="clear" w:color="auto" w:fill="000000"/>
            <w:tcMar>
              <w:top w:w="140" w:type="dxa"/>
              <w:right w:w="180" w:type="dxa"/>
              <w:bottom w:w="140" w:type="dxa"/>
              <w:left w:w="180" w:type="dxa"/>
            </w:tcMar>
            <w:tcBorders>
              <w:top w:val="single" w:sz="8" w:space="0" w:color="000000"/>
              <w:bottom w:val="single" w:sz="16" w:space="0" w:color="FFC200"/>
              <w:left w:val="single" w:sz="8" w:space="0" w:color="000000"/>
              <w:right w:val="single" w:sz="8" w:space="0" w:color="000000"/>
            </w:tcBorders>
          </w:tcPr>
          <w:p>
            <w:pPr>
              <w:spacing w:before="0" w:after="0"/>
            </w:pPr>
            <w:r>
              <w:rPr>
                <w:rFonts w:ascii="Tomorrow" w:hAnsi="Tomorrow" w:cs="Tomorrow"/>
                <w:b/>
                <w:i w:val="0"/>
                <w:color w:val="FFC200"/>
                <w:sz w:val="18"/>
              </w:rPr>
              <w:t>MAIAEDGE NETWORKS, INC.</w:t>
            </w:r>
          </w:p>
        </w:tc>
        <w:tc>
          <w:tcPr>
            <w:tcW w:type="dxa" w:w="576"/>
            <w:tcBorders>
              <w:top w:val="nil" w:sz="0" w:space="0" w:color="E5E1DA"/>
              <w:bottom w:val="nil" w:sz="0" w:space="0" w:color="E5E1DA"/>
              <w:left w:val="nil" w:sz="0" w:space="0" w:color="E5E1DA"/>
              <w:right w:val="nil" w:sz="0" w:space="0" w:color="E5E1DA"/>
            </w:tcBorders>
            <w:tcMar>
              <w:top w:w="0" w:type="dxa"/>
              <w:right w:w="0" w:type="dxa"/>
              <w:bottom w:w="0" w:type="dxa"/>
              <w:left w:w="0" w:type="dxa"/>
            </w:tcMar>
          </w:tcPr>
          <w:p/>
        </w:tc>
        <w:tc>
          <w:tcPr>
            <w:tcW w:type="dxa" w:w="4392"/>
            <w:gridSpan w:val="2"/>
            <w:shd w:val="clear" w:color="auto" w:fill="000000"/>
            <w:tcMar>
              <w:top w:w="140" w:type="dxa"/>
              <w:right w:w="180" w:type="dxa"/>
              <w:bottom w:w="140" w:type="dxa"/>
              <w:left w:w="180" w:type="dxa"/>
            </w:tcMar>
            <w:tcBorders>
              <w:top w:val="single" w:sz="8" w:space="0" w:color="000000"/>
              <w:bottom w:val="single" w:sz="16" w:space="0" w:color="FFC200"/>
              <w:left w:val="single" w:sz="8" w:space="0" w:color="000000"/>
              <w:right w:val="single" w:sz="8" w:space="0" w:color="000000"/>
            </w:tcBorders>
          </w:tcPr>
          <w:p>
            <w:pPr>
              <w:spacing w:before="0" w:after="0"/>
            </w:pPr>
            <w:r>
              <w:rPr>
                <w:rFonts w:ascii="Tomorrow" w:hAnsi="Tomorrow" w:cs="Tomorrow"/>
                <w:b/>
                <w:i w:val="0"/>
                <w:color w:val="FFC200"/>
                <w:sz w:val="18"/>
              </w:rPr>
              <w:t>NEXUS DATA CENTERS</w:t>
            </w:r>
          </w:p>
        </w:tc>
      </w:tr>
      <w:tr>
        <w:tc>
          <w:tcPr>
            <w:tcW w:type="dxa" w:w="1584"/>
            <w:shd w:val="clear" w:color="auto" w:fill="F4F2EE"/>
            <w:tcMar>
              <w:top w:w="160" w:type="dxa"/>
              <w:right w:w="120" w:type="dxa"/>
              <w:bottom w:w="160" w:type="dxa"/>
              <w:left w:w="180" w:type="dxa"/>
            </w:tcMar>
            <w:tcBorders>
              <w:top w:val="nil" w:sz="0" w:space="0" w:color="E5E1DA"/>
              <w:bottom w:val="single" w:sz="4" w:space="0" w:color="E5E1DA"/>
              <w:left w:val="single" w:sz="8" w:space="0" w:color="000000"/>
              <w:right w:val="single" w:sz="4" w:space="0" w:color="E5E1DA"/>
            </w:tcBorders>
          </w:tcPr>
          <w:p>
            <w:pPr>
              <w:spacing w:before="0" w:after="0"/>
            </w:pPr>
            <w:r>
              <w:rPr>
                <w:rFonts w:ascii="Tomorrow" w:hAnsi="Tomorrow" w:cs="Tomorrow"/>
                <w:b/>
                <w:i w:val="0"/>
                <w:color w:val="4A4A4A"/>
                <w:sz w:val="14"/>
              </w:rPr>
              <w:t>AUTHORIZED SIGNATORY</w:t>
            </w:r>
          </w:p>
        </w:tc>
        <w:tc>
          <w:tcPr>
            <w:tcW w:type="dxa" w:w="2808"/>
            <w:tcMar>
              <w:top w:w="160" w:type="dxa"/>
              <w:right w:w="180" w:type="dxa"/>
              <w:bottom w:w="160" w:type="dxa"/>
              <w:left w:w="120" w:type="dxa"/>
            </w:tcMar>
            <w:tcBorders>
              <w:top w:val="nil" w:sz="0" w:space="0" w:color="E5E1DA"/>
              <w:bottom w:val="single" w:sz="4" w:space="0" w:color="E5E1DA"/>
              <w:left w:val="single" w:sz="4" w:space="0" w:color="E5E1DA"/>
              <w:right w:val="single" w:sz="8" w:space="0" w:color="000000"/>
            </w:tcBorders>
          </w:tcPr>
          <w:p>
            <w:pPr>
              <w:spacing w:before="0" w:after="0"/>
            </w:pPr>
          </w:p>
        </w:tc>
        <w:tc>
          <w:tcPr>
            <w:tcW w:type="dxa" w:w="576"/>
            <w:tcBorders>
              <w:top w:val="nil" w:sz="0" w:space="0" w:color="E5E1DA"/>
              <w:bottom w:val="nil" w:sz="0" w:space="0" w:color="E5E1DA"/>
              <w:left w:val="nil" w:sz="0" w:space="0" w:color="E5E1DA"/>
              <w:right w:val="nil" w:sz="0" w:space="0" w:color="E5E1DA"/>
            </w:tcBorders>
            <w:tcMar>
              <w:top w:w="0" w:type="dxa"/>
              <w:right w:w="0" w:type="dxa"/>
              <w:bottom w:w="0" w:type="dxa"/>
              <w:left w:w="0" w:type="dxa"/>
            </w:tcMar>
          </w:tcPr>
          <w:p>
            <w:pPr>
              <w:spacing w:before="0" w:after="0"/>
            </w:pPr>
          </w:p>
        </w:tc>
        <w:tc>
          <w:tcPr>
            <w:tcW w:type="dxa" w:w="1584"/>
            <w:shd w:val="clear" w:color="auto" w:fill="F4F2EE"/>
            <w:tcMar>
              <w:top w:w="160" w:type="dxa"/>
              <w:right w:w="120" w:type="dxa"/>
              <w:bottom w:w="160" w:type="dxa"/>
              <w:left w:w="180" w:type="dxa"/>
            </w:tcMar>
            <w:tcBorders>
              <w:top w:val="nil" w:sz="0" w:space="0" w:color="E5E1DA"/>
              <w:bottom w:val="single" w:sz="4" w:space="0" w:color="E5E1DA"/>
              <w:left w:val="single" w:sz="8" w:space="0" w:color="000000"/>
              <w:right w:val="single" w:sz="4" w:space="0" w:color="E5E1DA"/>
            </w:tcBorders>
          </w:tcPr>
          <w:p>
            <w:pPr>
              <w:spacing w:before="0" w:after="0"/>
            </w:pPr>
            <w:r>
              <w:rPr>
                <w:rFonts w:ascii="Tomorrow" w:hAnsi="Tomorrow" w:cs="Tomorrow"/>
                <w:b/>
                <w:i w:val="0"/>
                <w:color w:val="4A4A4A"/>
                <w:sz w:val="14"/>
              </w:rPr>
              <w:t>AUTHORIZED SIGNATORY</w:t>
            </w:r>
          </w:p>
        </w:tc>
        <w:tc>
          <w:tcPr>
            <w:tcW w:type="dxa" w:w="2808"/>
            <w:tcMar>
              <w:top w:w="160" w:type="dxa"/>
              <w:right w:w="180" w:type="dxa"/>
              <w:bottom w:w="160" w:type="dxa"/>
              <w:left w:w="120" w:type="dxa"/>
            </w:tcMar>
            <w:tcBorders>
              <w:top w:val="nil" w:sz="0" w:space="0" w:color="E5E1DA"/>
              <w:bottom w:val="single" w:sz="4" w:space="0" w:color="E5E1DA"/>
              <w:left w:val="single" w:sz="4" w:space="0" w:color="E5E1DA"/>
              <w:right w:val="single" w:sz="8" w:space="0" w:color="000000"/>
            </w:tcBorders>
          </w:tcPr>
          <w:p>
            <w:pPr>
              <w:spacing w:before="0" w:after="0"/>
            </w:pPr>
          </w:p>
        </w:tc>
      </w:tr>
      <w:tr>
        <w:tc>
          <w:tcPr>
            <w:tcW w:type="dxa" w:w="1584"/>
            <w:shd w:val="clear" w:color="auto" w:fill="F4F2EE"/>
            <w:tcMar>
              <w:top w:w="160" w:type="dxa"/>
              <w:right w:w="120" w:type="dxa"/>
              <w:bottom w:w="160" w:type="dxa"/>
              <w:left w:w="180" w:type="dxa"/>
            </w:tcMar>
            <w:tcBorders>
              <w:top w:val="nil" w:sz="0" w:space="0" w:color="E5E1DA"/>
              <w:bottom w:val="single" w:sz="4" w:space="0" w:color="E5E1DA"/>
              <w:left w:val="single" w:sz="8" w:space="0" w:color="000000"/>
              <w:right w:val="single" w:sz="4" w:space="0" w:color="E5E1DA"/>
            </w:tcBorders>
          </w:tcPr>
          <w:p>
            <w:pPr>
              <w:spacing w:before="0" w:after="0"/>
            </w:pPr>
            <w:r>
              <w:rPr>
                <w:rFonts w:ascii="Tomorrow" w:hAnsi="Tomorrow" w:cs="Tomorrow"/>
                <w:b/>
                <w:i w:val="0"/>
                <w:color w:val="4A4A4A"/>
                <w:sz w:val="14"/>
              </w:rPr>
              <w:t>NAME</w:t>
            </w:r>
          </w:p>
        </w:tc>
        <w:tc>
          <w:tcPr>
            <w:tcW w:type="dxa" w:w="2808"/>
            <w:tcMar>
              <w:top w:w="160" w:type="dxa"/>
              <w:right w:w="180" w:type="dxa"/>
              <w:bottom w:w="160" w:type="dxa"/>
              <w:left w:w="120" w:type="dxa"/>
            </w:tcMar>
            <w:tcBorders>
              <w:top w:val="nil" w:sz="0" w:space="0" w:color="E5E1DA"/>
              <w:bottom w:val="single" w:sz="4" w:space="0" w:color="E5E1DA"/>
              <w:left w:val="single" w:sz="4" w:space="0" w:color="E5E1DA"/>
              <w:right w:val="single" w:sz="8" w:space="0" w:color="000000"/>
            </w:tcBorders>
          </w:tcPr>
          <w:p>
            <w:pPr>
              <w:spacing w:before="0" w:after="0"/>
            </w:pPr>
          </w:p>
        </w:tc>
        <w:tc>
          <w:tcPr>
            <w:tcW w:type="dxa" w:w="576"/>
            <w:tcBorders>
              <w:top w:val="nil" w:sz="0" w:space="0" w:color="E5E1DA"/>
              <w:bottom w:val="nil" w:sz="0" w:space="0" w:color="E5E1DA"/>
              <w:left w:val="nil" w:sz="0" w:space="0" w:color="E5E1DA"/>
              <w:right w:val="nil" w:sz="0" w:space="0" w:color="E5E1DA"/>
            </w:tcBorders>
            <w:tcMar>
              <w:top w:w="0" w:type="dxa"/>
              <w:right w:w="0" w:type="dxa"/>
              <w:bottom w:w="0" w:type="dxa"/>
              <w:left w:w="0" w:type="dxa"/>
            </w:tcMar>
          </w:tcPr>
          <w:p>
            <w:pPr>
              <w:spacing w:before="0" w:after="0"/>
            </w:pPr>
          </w:p>
        </w:tc>
        <w:tc>
          <w:tcPr>
            <w:tcW w:type="dxa" w:w="1584"/>
            <w:shd w:val="clear" w:color="auto" w:fill="F4F2EE"/>
            <w:tcMar>
              <w:top w:w="160" w:type="dxa"/>
              <w:right w:w="120" w:type="dxa"/>
              <w:bottom w:w="160" w:type="dxa"/>
              <w:left w:w="180" w:type="dxa"/>
            </w:tcMar>
            <w:tcBorders>
              <w:top w:val="nil" w:sz="0" w:space="0" w:color="E5E1DA"/>
              <w:bottom w:val="single" w:sz="4" w:space="0" w:color="E5E1DA"/>
              <w:left w:val="single" w:sz="8" w:space="0" w:color="000000"/>
              <w:right w:val="single" w:sz="4" w:space="0" w:color="E5E1DA"/>
            </w:tcBorders>
          </w:tcPr>
          <w:p>
            <w:pPr>
              <w:spacing w:before="0" w:after="0"/>
            </w:pPr>
            <w:r>
              <w:rPr>
                <w:rFonts w:ascii="Tomorrow" w:hAnsi="Tomorrow" w:cs="Tomorrow"/>
                <w:b/>
                <w:i w:val="0"/>
                <w:color w:val="4A4A4A"/>
                <w:sz w:val="14"/>
              </w:rPr>
              <w:t>NAME</w:t>
            </w:r>
          </w:p>
        </w:tc>
        <w:tc>
          <w:tcPr>
            <w:tcW w:type="dxa" w:w="2808"/>
            <w:tcMar>
              <w:top w:w="160" w:type="dxa"/>
              <w:right w:w="180" w:type="dxa"/>
              <w:bottom w:w="160" w:type="dxa"/>
              <w:left w:w="120" w:type="dxa"/>
            </w:tcMar>
            <w:tcBorders>
              <w:top w:val="nil" w:sz="0" w:space="0" w:color="E5E1DA"/>
              <w:bottom w:val="single" w:sz="4" w:space="0" w:color="E5E1DA"/>
              <w:left w:val="single" w:sz="4" w:space="0" w:color="E5E1DA"/>
              <w:right w:val="single" w:sz="8" w:space="0" w:color="000000"/>
            </w:tcBorders>
          </w:tcPr>
          <w:p>
            <w:pPr>
              <w:spacing w:before="0" w:after="0"/>
            </w:pPr>
          </w:p>
        </w:tc>
      </w:tr>
      <w:tr>
        <w:tc>
          <w:tcPr>
            <w:tcW w:type="dxa" w:w="1584"/>
            <w:shd w:val="clear" w:color="auto" w:fill="F4F2EE"/>
            <w:tcMar>
              <w:top w:w="160" w:type="dxa"/>
              <w:right w:w="120" w:type="dxa"/>
              <w:bottom w:w="160" w:type="dxa"/>
              <w:left w:w="180" w:type="dxa"/>
            </w:tcMar>
            <w:tcBorders>
              <w:top w:val="nil" w:sz="0" w:space="0" w:color="E5E1DA"/>
              <w:bottom w:val="single" w:sz="4" w:space="0" w:color="E5E1DA"/>
              <w:left w:val="single" w:sz="8" w:space="0" w:color="000000"/>
              <w:right w:val="single" w:sz="4" w:space="0" w:color="E5E1DA"/>
            </w:tcBorders>
          </w:tcPr>
          <w:p>
            <w:pPr>
              <w:spacing w:before="0" w:after="0"/>
            </w:pPr>
            <w:r>
              <w:rPr>
                <w:rFonts w:ascii="Tomorrow" w:hAnsi="Tomorrow" w:cs="Tomorrow"/>
                <w:b/>
                <w:i w:val="0"/>
                <w:color w:val="4A4A4A"/>
                <w:sz w:val="14"/>
              </w:rPr>
              <w:t>TITLE</w:t>
            </w:r>
          </w:p>
        </w:tc>
        <w:tc>
          <w:tcPr>
            <w:tcW w:type="dxa" w:w="2808"/>
            <w:tcMar>
              <w:top w:w="160" w:type="dxa"/>
              <w:right w:w="180" w:type="dxa"/>
              <w:bottom w:w="160" w:type="dxa"/>
              <w:left w:w="120" w:type="dxa"/>
            </w:tcMar>
            <w:tcBorders>
              <w:top w:val="nil" w:sz="0" w:space="0" w:color="E5E1DA"/>
              <w:bottom w:val="single" w:sz="4" w:space="0" w:color="E5E1DA"/>
              <w:left w:val="single" w:sz="4" w:space="0" w:color="E5E1DA"/>
              <w:right w:val="single" w:sz="8" w:space="0" w:color="000000"/>
            </w:tcBorders>
          </w:tcPr>
          <w:p>
            <w:pPr>
              <w:spacing w:before="0" w:after="0"/>
            </w:pPr>
          </w:p>
        </w:tc>
        <w:tc>
          <w:tcPr>
            <w:tcW w:type="dxa" w:w="576"/>
            <w:tcBorders>
              <w:top w:val="nil" w:sz="0" w:space="0" w:color="E5E1DA"/>
              <w:bottom w:val="nil" w:sz="0" w:space="0" w:color="E5E1DA"/>
              <w:left w:val="nil" w:sz="0" w:space="0" w:color="E5E1DA"/>
              <w:right w:val="nil" w:sz="0" w:space="0" w:color="E5E1DA"/>
            </w:tcBorders>
            <w:tcMar>
              <w:top w:w="0" w:type="dxa"/>
              <w:right w:w="0" w:type="dxa"/>
              <w:bottom w:w="0" w:type="dxa"/>
              <w:left w:w="0" w:type="dxa"/>
            </w:tcMar>
          </w:tcPr>
          <w:p>
            <w:pPr>
              <w:spacing w:before="0" w:after="0"/>
            </w:pPr>
          </w:p>
        </w:tc>
        <w:tc>
          <w:tcPr>
            <w:tcW w:type="dxa" w:w="1584"/>
            <w:shd w:val="clear" w:color="auto" w:fill="F4F2EE"/>
            <w:tcMar>
              <w:top w:w="160" w:type="dxa"/>
              <w:right w:w="120" w:type="dxa"/>
              <w:bottom w:w="160" w:type="dxa"/>
              <w:left w:w="180" w:type="dxa"/>
            </w:tcMar>
            <w:tcBorders>
              <w:top w:val="nil" w:sz="0" w:space="0" w:color="E5E1DA"/>
              <w:bottom w:val="single" w:sz="4" w:space="0" w:color="E5E1DA"/>
              <w:left w:val="single" w:sz="8" w:space="0" w:color="000000"/>
              <w:right w:val="single" w:sz="4" w:space="0" w:color="E5E1DA"/>
            </w:tcBorders>
          </w:tcPr>
          <w:p>
            <w:pPr>
              <w:spacing w:before="0" w:after="0"/>
            </w:pPr>
            <w:r>
              <w:rPr>
                <w:rFonts w:ascii="Tomorrow" w:hAnsi="Tomorrow" w:cs="Tomorrow"/>
                <w:b/>
                <w:i w:val="0"/>
                <w:color w:val="4A4A4A"/>
                <w:sz w:val="14"/>
              </w:rPr>
              <w:t>TITLE</w:t>
            </w:r>
          </w:p>
        </w:tc>
        <w:tc>
          <w:tcPr>
            <w:tcW w:type="dxa" w:w="2808"/>
            <w:tcMar>
              <w:top w:w="160" w:type="dxa"/>
              <w:right w:w="180" w:type="dxa"/>
              <w:bottom w:w="160" w:type="dxa"/>
              <w:left w:w="120" w:type="dxa"/>
            </w:tcMar>
            <w:tcBorders>
              <w:top w:val="nil" w:sz="0" w:space="0" w:color="E5E1DA"/>
              <w:bottom w:val="single" w:sz="4" w:space="0" w:color="E5E1DA"/>
              <w:left w:val="single" w:sz="4" w:space="0" w:color="E5E1DA"/>
              <w:right w:val="single" w:sz="8" w:space="0" w:color="000000"/>
            </w:tcBorders>
          </w:tcPr>
          <w:p>
            <w:pPr>
              <w:spacing w:before="0" w:after="0"/>
            </w:pPr>
          </w:p>
        </w:tc>
      </w:tr>
      <w:tr>
        <w:tc>
          <w:tcPr>
            <w:tcW w:type="dxa" w:w="1584"/>
            <w:shd w:val="clear" w:color="auto" w:fill="F4F2EE"/>
            <w:tcMar>
              <w:top w:w="160" w:type="dxa"/>
              <w:right w:w="120" w:type="dxa"/>
              <w:bottom w:w="160" w:type="dxa"/>
              <w:left w:w="180" w:type="dxa"/>
            </w:tcMar>
            <w:tcBorders>
              <w:top w:val="nil" w:sz="0" w:space="0" w:color="E5E1DA"/>
              <w:bottom w:val="single" w:sz="8" w:space="0" w:color="000000"/>
              <w:left w:val="single" w:sz="8" w:space="0" w:color="000000"/>
              <w:right w:val="single" w:sz="4" w:space="0" w:color="E5E1DA"/>
            </w:tcBorders>
          </w:tcPr>
          <w:p>
            <w:pPr>
              <w:spacing w:before="0" w:after="0"/>
            </w:pPr>
            <w:r>
              <w:rPr>
                <w:rFonts w:ascii="Tomorrow" w:hAnsi="Tomorrow" w:cs="Tomorrow"/>
                <w:b/>
                <w:i w:val="0"/>
                <w:color w:val="4A4A4A"/>
                <w:sz w:val="14"/>
              </w:rPr>
              <w:t>DATE</w:t>
            </w:r>
          </w:p>
        </w:tc>
        <w:tc>
          <w:tcPr>
            <w:tcW w:type="dxa" w:w="2808"/>
            <w:tcMar>
              <w:top w:w="160" w:type="dxa"/>
              <w:right w:w="180" w:type="dxa"/>
              <w:bottom w:w="160" w:type="dxa"/>
              <w:left w:w="120" w:type="dxa"/>
            </w:tcMar>
            <w:tcBorders>
              <w:top w:val="nil" w:sz="0" w:space="0" w:color="E5E1DA"/>
              <w:bottom w:val="single" w:sz="8" w:space="0" w:color="000000"/>
              <w:left w:val="single" w:sz="4" w:space="0" w:color="E5E1DA"/>
              <w:right w:val="single" w:sz="8" w:space="0" w:color="000000"/>
            </w:tcBorders>
          </w:tcPr>
          <w:p>
            <w:pPr>
              <w:spacing w:before="0" w:after="0"/>
            </w:pPr>
          </w:p>
        </w:tc>
        <w:tc>
          <w:tcPr>
            <w:tcW w:type="dxa" w:w="576"/>
            <w:tcBorders>
              <w:top w:val="nil" w:sz="0" w:space="0" w:color="E5E1DA"/>
              <w:bottom w:val="nil" w:sz="0" w:space="0" w:color="E5E1DA"/>
              <w:left w:val="nil" w:sz="0" w:space="0" w:color="E5E1DA"/>
              <w:right w:val="nil" w:sz="0" w:space="0" w:color="E5E1DA"/>
            </w:tcBorders>
            <w:tcMar>
              <w:top w:w="0" w:type="dxa"/>
              <w:right w:w="0" w:type="dxa"/>
              <w:bottom w:w="0" w:type="dxa"/>
              <w:left w:w="0" w:type="dxa"/>
            </w:tcMar>
          </w:tcPr>
          <w:p>
            <w:pPr>
              <w:spacing w:before="0" w:after="0"/>
            </w:pPr>
          </w:p>
        </w:tc>
        <w:tc>
          <w:tcPr>
            <w:tcW w:type="dxa" w:w="1584"/>
            <w:shd w:val="clear" w:color="auto" w:fill="F4F2EE"/>
            <w:tcMar>
              <w:top w:w="160" w:type="dxa"/>
              <w:right w:w="120" w:type="dxa"/>
              <w:bottom w:w="160" w:type="dxa"/>
              <w:left w:w="180" w:type="dxa"/>
            </w:tcMar>
            <w:tcBorders>
              <w:top w:val="nil" w:sz="0" w:space="0" w:color="E5E1DA"/>
              <w:bottom w:val="single" w:sz="8" w:space="0" w:color="000000"/>
              <w:left w:val="single" w:sz="8" w:space="0" w:color="000000"/>
              <w:right w:val="single" w:sz="4" w:space="0" w:color="E5E1DA"/>
            </w:tcBorders>
          </w:tcPr>
          <w:p>
            <w:pPr>
              <w:spacing w:before="0" w:after="0"/>
            </w:pPr>
            <w:r>
              <w:rPr>
                <w:rFonts w:ascii="Tomorrow" w:hAnsi="Tomorrow" w:cs="Tomorrow"/>
                <w:b/>
                <w:i w:val="0"/>
                <w:color w:val="4A4A4A"/>
                <w:sz w:val="14"/>
              </w:rPr>
              <w:t>DATE</w:t>
            </w:r>
          </w:p>
        </w:tc>
        <w:tc>
          <w:tcPr>
            <w:tcW w:type="dxa" w:w="2808"/>
            <w:tcMar>
              <w:top w:w="160" w:type="dxa"/>
              <w:right w:w="180" w:type="dxa"/>
              <w:bottom w:w="160" w:type="dxa"/>
              <w:left w:w="120" w:type="dxa"/>
            </w:tcMar>
            <w:tcBorders>
              <w:top w:val="nil" w:sz="0" w:space="0" w:color="E5E1DA"/>
              <w:bottom w:val="single" w:sz="8" w:space="0" w:color="000000"/>
              <w:left w:val="single" w:sz="4" w:space="0" w:color="E5E1DA"/>
              <w:right w:val="single" w:sz="8" w:space="0" w:color="000000"/>
            </w:tcBorders>
          </w:tcPr>
          <w:p>
            <w:pPr>
              <w:spacing w:before="0" w:after="0"/>
            </w:pPr>
          </w:p>
        </w:tc>
      </w:tr>
    </w:tbl>
    <w:p>
      <w:pPr>
        <w:spacing w:before="20" w:after="2"/>
      </w:pPr>
    </w:p>
    <w:p>
      <w:pPr>
        <w:spacing w:before="0" w:after="8"/>
        <w:pBdr>
          <w:bottom w:val="single" w:sz="12" w:space="1" w:color="FFC200"/>
        </w:pBdr>
      </w:pPr>
    </w:p>
    <w:p>
      <w:pPr>
        <w:spacing w:before="0" w:after="0"/>
      </w:pPr>
      <w:r>
        <w:rPr>
          <w:rFonts w:ascii="Tomorrow" w:hAnsi="Tomorrow" w:cs="Tomorrow"/>
          <w:b w:val="0"/>
          <w:i/>
          <w:color w:val="4A4A4A"/>
          <w:sz w:val="16"/>
        </w:rPr>
        <w:t>This document contains confidential and proprietary information of MaiaEdge Networks, Inc. and is intended solely for the recipient named above. Unauthorized disclosure, reproduction, or distribution is strictly prohibited.</w:t>
      </w:r>
    </w:p>
    <w:sectPr w:rsidR="00FC693F" w:rsidRPr="0006063C" w:rsidSect="00034616">
      <w:headerReference w:type="first" r:id="rId9"/>
      <w:headerReference w:type="defaul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4" w:color="E5E1DA"/>
      </w:pBdr>
      <w:tabs>
        <w:tab w:val="right" w:pos="9360"/>
      </w:tabs>
    </w:pPr>
    <w:r>
      <w:rPr>
        <w:rFonts w:ascii="Tomorrow" w:hAnsi="Tomorrow" w:cs="Tomorrow"/>
        <w:b/>
        <w:i w:val="0"/>
        <w:color w:val="4A4A4A"/>
        <w:sz w:val="14"/>
        <w:caps/>
        <w:spacing w:val="20"/>
      </w:rPr>
      <w:t>MAIAEDGE NETWORKS  ·  STATEMENT OF WORK  ·  NEXUS ENGINEERING PHASE</w:t>
    </w:r>
    <w:r>
      <w:tab/>
    </w:r>
    <w:r>
      <w:rPr>
        <w:rFonts w:ascii="Tomorrow" w:hAnsi="Tomorrow" w:cs="Tomorrow"/>
        <w:b/>
        <w:i w:val="0"/>
        <w:color w:val="4A4A4A"/>
        <w:sz w:val="14"/>
        <w:caps/>
        <w:spacing w:val="20"/>
      </w:rPr>
      <w:t xml:space="preserve">Page </w:t>
    </w:r>
    <w:fldSimple w:instr="PAGE">
      <w:r>
        <w:rPr>
          <w:sz w:val="14"/>
          <w:color w:val="4A4A4A"/>
          <w:b/>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Ind w:w="0" w:type="dxa"/>
    </w:tblPr>
    <w:tblGrid>
      <w:gridCol w:w="3168"/>
      <w:gridCol w:w="3024"/>
      <w:gridCol w:w="3168"/>
    </w:tblGrid>
    <w:tr>
      <w:tc>
        <w:tcPr>
          <w:tcW w:type="dxa" w:w="3168"/>
          <w:tcMar>
            <w:top w:w="0" w:type="dxa"/>
            <w:right w:w="0" w:type="dxa"/>
            <w:bottom w:w="0" w:type="dxa"/>
            <w:left w:w="0" w:type="dxa"/>
          </w:tcMar>
          <w:tcBorders>
            <w:top w:val="nil" w:sz="0" w:space="0" w:color="E5E1DA"/>
            <w:bottom w:val="nil" w:sz="0" w:space="0" w:color="E5E1DA"/>
            <w:left w:val="nil" w:sz="0" w:space="0" w:color="E5E1DA"/>
            <w:right w:val="nil" w:sz="0" w:space="0" w:color="E5E1DA"/>
          </w:tcBorders>
          <w:vAlign w:val="center"/>
        </w:tcPr>
        <w:p>
          <w:pPr>
            <w:spacing w:before="0" w:after="0"/>
            <w:jc w:val="left"/>
          </w:pPr>
          <w:r>
            <w:drawing>
              <wp:inline xmlns:a="http://schemas.openxmlformats.org/drawingml/2006/main" xmlns:pic="http://schemas.openxmlformats.org/drawingml/2006/picture">
                <wp:extent cx="1371600" cy="393826"/>
                <wp:docPr id="1" name="Picture 1"/>
                <wp:cNvGraphicFramePr>
                  <a:graphicFrameLocks noChangeAspect="1"/>
                </wp:cNvGraphicFramePr>
                <a:graphic>
                  <a:graphicData uri="http://schemas.openxmlformats.org/drawingml/2006/picture">
                    <pic:pic>
                      <pic:nvPicPr>
                        <pic:cNvPr id="0" name="logo-rgb.png"/>
                        <pic:cNvPicPr/>
                      </pic:nvPicPr>
                      <pic:blipFill>
                        <a:blip r:embed="rId1"/>
                        <a:stretch>
                          <a:fillRect/>
                        </a:stretch>
                      </pic:blipFill>
                      <pic:spPr>
                        <a:xfrm>
                          <a:off x="0" y="0"/>
                          <a:ext cx="1371600" cy="393826"/>
                        </a:xfrm>
                        <a:prstGeom prst="rect"/>
                      </pic:spPr>
                    </pic:pic>
                  </a:graphicData>
                </a:graphic>
              </wp:inline>
            </w:drawing>
          </w:r>
        </w:p>
      </w:tc>
      <w:tc>
        <w:tcPr>
          <w:tcW w:type="dxa" w:w="3024"/>
          <w:tcMar>
            <w:top w:w="0" w:type="dxa"/>
            <w:right w:w="0" w:type="dxa"/>
            <w:bottom w:w="0" w:type="dxa"/>
            <w:left w:w="0" w:type="dxa"/>
          </w:tcMar>
          <w:tcBorders>
            <w:top w:val="nil" w:sz="0" w:space="0" w:color="E5E1DA"/>
            <w:bottom w:val="nil" w:sz="0" w:space="0" w:color="E5E1DA"/>
            <w:left w:val="nil" w:sz="0" w:space="0" w:color="E5E1DA"/>
            <w:right w:val="nil" w:sz="0" w:space="0" w:color="E5E1DA"/>
          </w:tcBorders>
          <w:vAlign w:val="center"/>
        </w:tcPr>
        <w:p/>
      </w:tc>
      <w:tc>
        <w:tcPr>
          <w:tcW w:type="dxa" w:w="3168"/>
          <w:tcMar>
            <w:top w:w="0" w:type="dxa"/>
            <w:right w:w="0" w:type="dxa"/>
            <w:bottom w:w="0" w:type="dxa"/>
            <w:left w:w="0" w:type="dxa"/>
          </w:tcMar>
          <w:tcBorders>
            <w:top w:val="nil" w:sz="0" w:space="0" w:color="E5E1DA"/>
            <w:bottom w:val="nil" w:sz="0" w:space="0" w:color="E5E1DA"/>
            <w:left w:val="nil" w:sz="0" w:space="0" w:color="E5E1DA"/>
            <w:right w:val="nil" w:sz="0" w:space="0" w:color="E5E1DA"/>
          </w:tcBorders>
          <w:vAlign w:val="center"/>
        </w:tcPr>
        <w:p>
          <w:pPr>
            <w:spacing w:before="0" w:after="0"/>
            <w:jc w:val="right"/>
          </w:pPr>
          <w:r>
            <w:drawing>
              <wp:inline xmlns:a="http://schemas.openxmlformats.org/drawingml/2006/main" xmlns:pic="http://schemas.openxmlformats.org/drawingml/2006/picture">
                <wp:extent cx="1177615" cy="393192"/>
                <wp:docPr id="2" name="Picture 2"/>
                <wp:cNvGraphicFramePr>
                  <a:graphicFrameLocks noChangeAspect="1"/>
                </wp:cNvGraphicFramePr>
                <a:graphic>
                  <a:graphicData uri="http://schemas.openxmlformats.org/drawingml/2006/picture">
                    <pic:pic>
                      <pic:nvPicPr>
                        <pic:cNvPr id="0" name="pearce-logo.png"/>
                        <pic:cNvPicPr/>
                      </pic:nvPicPr>
                      <pic:blipFill>
                        <a:blip r:embed="rId2"/>
                        <a:stretch>
                          <a:fillRect/>
                        </a:stretch>
                      </pic:blipFill>
                      <pic:spPr>
                        <a:xfrm>
                          <a:off x="0" y="0"/>
                          <a:ext cx="1177615" cy="393192"/>
                        </a:xfrm>
                        <a:prstGeom prst="rect"/>
                      </pic:spPr>
                    </pic:pic>
                  </a:graphicData>
                </a:graphic>
              </wp:inline>
            </w:drawing>
          </w:r>
        </w:p>
      </w:tc>
    </w:tr>
  </w:tbl>
  <w:p>
    <w:pPr>
      <w:spacing w:before="40" w:after="0"/>
      <w:pBdr>
        <w:bottom w:val="single" w:sz="12" w:space="1" w:color="FFC200"/>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tabs>
        <w:tab w:val="right" w:pos="9360"/>
      </w:tabs>
    </w:pPr>
    <w:r>
      <w:drawing>
        <wp:inline xmlns:a="http://schemas.openxmlformats.org/drawingml/2006/main" xmlns:pic="http://schemas.openxmlformats.org/drawingml/2006/picture">
          <wp:extent cx="1371600" cy="393826"/>
          <wp:docPr id="1" name="Picture 1"/>
          <wp:cNvGraphicFramePr>
            <a:graphicFrameLocks noChangeAspect="1"/>
          </wp:cNvGraphicFramePr>
          <a:graphic>
            <a:graphicData uri="http://schemas.openxmlformats.org/drawingml/2006/picture">
              <pic:pic>
                <pic:nvPicPr>
                  <pic:cNvPr id="0" name="logo-rgb.png"/>
                  <pic:cNvPicPr/>
                </pic:nvPicPr>
                <pic:blipFill>
                  <a:blip r:embed="rId1"/>
                  <a:stretch>
                    <a:fillRect/>
                  </a:stretch>
                </pic:blipFill>
                <pic:spPr>
                  <a:xfrm>
                    <a:off x="0" y="0"/>
                    <a:ext cx="1371600" cy="393826"/>
                  </a:xfrm>
                  <a:prstGeom prst="rect"/>
                </pic:spPr>
              </pic:pic>
            </a:graphicData>
          </a:graphic>
        </wp:inline>
      </w:drawing>
    </w:r>
    <w:r>
      <w:rPr>
        <w:rFonts w:ascii="Tomorrow" w:hAnsi="Tomorrow" w:cs="Tomorrow"/>
        <w:b w:val="0"/>
        <w:i w:val="0"/>
        <w:color w:val="4A4A4A"/>
        <w:sz w:val="16"/>
      </w:rPr>
      <w:tab/>
    </w:r>
    <w:r>
      <w:rPr>
        <w:rFonts w:ascii="Tomorrow" w:hAnsi="Tomorrow" w:cs="Tomorrow"/>
        <w:b/>
        <w:i w:val="0"/>
        <w:color w:val="4A4A4A"/>
        <w:sz w:val="16"/>
        <w:caps/>
        <w:spacing w:val="30"/>
      </w:rPr>
      <w:t>CONFIDENTIAL &amp; PROPRIETARY</w:t>
    </w:r>
  </w:p>
  <w:p>
    <w:pPr>
      <w:spacing w:before="40" w:after="0"/>
      <w:pBdr>
        <w:bottom w:val="single" w:sz="12" w:space="1" w:color="FFC20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omorrow" w:hAnsi="Tomorrow" w:cs="Tomorrow"/>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